
<file path=[Content_Types].xml><?xml version="1.0" encoding="utf-8"?>
<Types xmlns="http://schemas.openxmlformats.org/package/2006/content-types">
  <Default Extension="xml" ContentType="application/xml"/>
  <Default Extension="xls" ContentType="application/vnd.ms-exce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rPr>
          <w:rFonts w:asciiTheme="minorEastAsia" w:hAnsiTheme="minorEastAsia"/>
          <w:b/>
          <w:sz w:val="44"/>
          <w:szCs w:val="44"/>
        </w:rPr>
      </w:pPr>
    </w:p>
    <w:p>
      <w:pPr>
        <w:spacing w:line="720" w:lineRule="auto"/>
        <w:jc w:val="center"/>
        <w:rPr>
          <w:rFonts w:asciiTheme="minorEastAsia" w:hAnsiTheme="minorEastAsia"/>
          <w:b/>
          <w:sz w:val="44"/>
          <w:szCs w:val="44"/>
        </w:rPr>
      </w:pPr>
    </w:p>
    <w:p>
      <w:pPr>
        <w:adjustRightInd w:val="0"/>
        <w:spacing w:line="480" w:lineRule="auto"/>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徐州铁路运</w:t>
      </w:r>
      <w:bookmarkStart w:id="87" w:name="_GoBack"/>
      <w:bookmarkEnd w:id="87"/>
      <w:r>
        <w:rPr>
          <w:rFonts w:hint="eastAsia" w:ascii="宋体" w:hAnsi="宋体" w:eastAsia="宋体" w:cs="宋体"/>
          <w:b/>
          <w:bCs/>
          <w:sz w:val="44"/>
          <w:szCs w:val="44"/>
          <w:lang w:eastAsia="zh-CN"/>
        </w:rPr>
        <w:t>输检察院</w:t>
      </w:r>
    </w:p>
    <w:p>
      <w:pPr>
        <w:adjustRightInd w:val="0"/>
        <w:spacing w:line="480" w:lineRule="auto"/>
        <w:jc w:val="center"/>
        <w:rPr>
          <w:rFonts w:ascii="楷体" w:hAnsi="楷体" w:eastAsia="楷体" w:cs="仿宋_GB2312"/>
          <w:sz w:val="32"/>
          <w:szCs w:val="32"/>
        </w:rPr>
      </w:pPr>
      <w:r>
        <w:rPr>
          <w:rFonts w:hint="eastAsia" w:ascii="楷体" w:hAnsi="楷体" w:eastAsia="楷体" w:cs="仿宋_GB2312"/>
          <w:sz w:val="32"/>
          <w:szCs w:val="32"/>
        </w:rPr>
        <w:t>——环境资源刑事案件集中管辖五周年白皮书</w:t>
      </w: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rPr>
          <w:rFonts w:ascii="黑体" w:hAnsi="黑体" w:eastAsia="黑体"/>
          <w:sz w:val="36"/>
          <w:szCs w:val="36"/>
        </w:rPr>
      </w:pPr>
    </w:p>
    <w:p>
      <w:pPr>
        <w:spacing w:line="720" w:lineRule="auto"/>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2022年6月2日</w:t>
      </w:r>
    </w:p>
    <w:p>
      <w:pPr>
        <w:spacing w:line="720" w:lineRule="auto"/>
        <w:jc w:val="center"/>
        <w:rPr>
          <w:rFonts w:ascii="仿宋_GB2312" w:hAnsi="仿宋_GB2312" w:eastAsia="仿宋_GB2312" w:cs="仿宋_GB2312"/>
          <w:sz w:val="32"/>
          <w:szCs w:val="32"/>
        </w:rPr>
      </w:pPr>
    </w:p>
    <w:p>
      <w:pPr>
        <w:spacing w:line="720" w:lineRule="auto"/>
        <w:jc w:val="center"/>
        <w:rPr>
          <w:rFonts w:ascii="仿宋_GB2312" w:hAnsi="仿宋_GB2312" w:eastAsia="仿宋_GB2312" w:cs="仿宋_GB2312"/>
          <w:sz w:val="32"/>
          <w:szCs w:val="32"/>
        </w:rPr>
        <w:sectPr>
          <w:pgSz w:w="11906" w:h="16838"/>
          <w:pgMar w:top="1531" w:right="1531" w:bottom="1531" w:left="1531" w:header="851" w:footer="992" w:gutter="0"/>
          <w:cols w:space="425" w:num="1"/>
          <w:docGrid w:type="lines" w:linePitch="312" w:charSpace="0"/>
        </w:sectPr>
      </w:pPr>
    </w:p>
    <w:p>
      <w:pPr>
        <w:spacing w:line="360" w:lineRule="auto"/>
        <w:jc w:val="center"/>
        <w:rPr>
          <w:rFonts w:ascii="黑体" w:hAnsi="黑体" w:eastAsia="黑体"/>
          <w:sz w:val="36"/>
          <w:szCs w:val="36"/>
        </w:rPr>
      </w:pPr>
    </w:p>
    <w:sdt>
      <w:sdtPr>
        <w:rPr>
          <w:rFonts w:ascii="宋体" w:hAnsi="宋体" w:eastAsia="宋体"/>
          <w:sz w:val="40"/>
          <w:szCs w:val="44"/>
        </w:rPr>
        <w:id w:val="147475959"/>
        <w:docPartObj>
          <w:docPartGallery w:val="Table of Contents"/>
          <w:docPartUnique/>
        </w:docPartObj>
      </w:sdtPr>
      <w:sdtEndPr>
        <w:rPr>
          <w:rFonts w:ascii="宋体" w:hAnsi="宋体" w:eastAsia="宋体"/>
          <w:b/>
          <w:sz w:val="40"/>
          <w:szCs w:val="44"/>
        </w:rPr>
      </w:sdtEndPr>
      <w:sdtContent>
        <w:p>
          <w:pPr>
            <w:spacing w:line="360" w:lineRule="auto"/>
            <w:jc w:val="center"/>
            <w:rPr>
              <w:sz w:val="40"/>
              <w:szCs w:val="44"/>
            </w:rPr>
          </w:pPr>
          <w:r>
            <w:rPr>
              <w:rFonts w:ascii="宋体" w:hAnsi="宋体" w:eastAsia="宋体"/>
              <w:sz w:val="40"/>
              <w:szCs w:val="44"/>
            </w:rPr>
            <w:t>目录</w:t>
          </w:r>
        </w:p>
        <w:p>
          <w:pPr>
            <w:pStyle w:val="21"/>
            <w:tabs>
              <w:tab w:val="right" w:leader="dot" w:pos="8844"/>
            </w:tabs>
            <w:spacing w:line="360" w:lineRule="auto"/>
            <w:rPr>
              <w:rFonts w:ascii="仿宋" w:hAnsi="仿宋" w:eastAsia="仿宋" w:cs="仿宋"/>
              <w:bCs/>
              <w:sz w:val="32"/>
              <w:szCs w:val="32"/>
            </w:rPr>
          </w:pPr>
          <w:r>
            <w:rPr>
              <w:sz w:val="28"/>
              <w:szCs w:val="28"/>
            </w:rPr>
            <w:fldChar w:fldCharType="begin"/>
          </w:r>
          <w:r>
            <w:rPr>
              <w:sz w:val="28"/>
              <w:szCs w:val="28"/>
            </w:rPr>
            <w:instrText xml:space="preserve">TOC \o "1-2" \h \u </w:instrText>
          </w:r>
          <w:r>
            <w:rPr>
              <w:sz w:val="28"/>
              <w:szCs w:val="28"/>
            </w:rPr>
            <w:fldChar w:fldCharType="separate"/>
          </w:r>
          <w:r>
            <w:rPr>
              <w:sz w:val="32"/>
              <w:szCs w:val="32"/>
            </w:rPr>
            <w:fldChar w:fldCharType="begin"/>
          </w:r>
          <w:r>
            <w:rPr>
              <w:sz w:val="32"/>
              <w:szCs w:val="32"/>
            </w:rPr>
            <w:instrText xml:space="preserve"> HYPERLINK \l "_Toc5371" </w:instrText>
          </w:r>
          <w:r>
            <w:rPr>
              <w:sz w:val="32"/>
              <w:szCs w:val="32"/>
            </w:rPr>
            <w:fldChar w:fldCharType="separate"/>
          </w:r>
          <w:r>
            <w:rPr>
              <w:rFonts w:hint="eastAsia" w:ascii="仿宋" w:hAnsi="仿宋" w:eastAsia="仿宋" w:cs="仿宋"/>
              <w:bCs/>
              <w:sz w:val="32"/>
              <w:szCs w:val="32"/>
            </w:rPr>
            <w:t>前言</w:t>
          </w:r>
          <w:r>
            <w:rPr>
              <w:rFonts w:hint="eastAsia" w:ascii="仿宋" w:hAnsi="仿宋" w:eastAsia="仿宋" w:cs="仿宋"/>
              <w:bCs/>
              <w:sz w:val="32"/>
              <w:szCs w:val="32"/>
            </w:rPr>
            <w:tab/>
          </w:r>
          <w:r>
            <w:rPr>
              <w:rFonts w:hint="eastAsia" w:ascii="仿宋" w:hAnsi="仿宋" w:eastAsia="仿宋" w:cs="仿宋"/>
              <w:bCs/>
              <w:sz w:val="32"/>
              <w:szCs w:val="32"/>
            </w:rPr>
            <w:t>1</w:t>
          </w:r>
          <w:r>
            <w:rPr>
              <w:rFonts w:hint="eastAsia" w:ascii="仿宋" w:hAnsi="仿宋" w:eastAsia="仿宋" w:cs="仿宋"/>
              <w:bCs/>
              <w:sz w:val="32"/>
              <w:szCs w:val="32"/>
            </w:rPr>
            <w:fldChar w:fldCharType="end"/>
          </w:r>
        </w:p>
        <w:p>
          <w:pPr>
            <w:pStyle w:val="21"/>
            <w:tabs>
              <w:tab w:val="right" w:leader="dot" w:pos="8844"/>
            </w:tabs>
            <w:spacing w:line="360" w:lineRule="auto"/>
            <w:rPr>
              <w:rFonts w:ascii="仿宋" w:hAnsi="仿宋" w:eastAsia="仿宋" w:cs="仿宋"/>
              <w:bCs/>
              <w:sz w:val="32"/>
              <w:szCs w:val="32"/>
            </w:rPr>
          </w:pPr>
          <w:r>
            <w:rPr>
              <w:sz w:val="32"/>
              <w:szCs w:val="32"/>
            </w:rPr>
            <w:fldChar w:fldCharType="begin"/>
          </w:r>
          <w:r>
            <w:rPr>
              <w:sz w:val="32"/>
              <w:szCs w:val="32"/>
            </w:rPr>
            <w:instrText xml:space="preserve"> HYPERLINK \l "_Toc30338" </w:instrText>
          </w:r>
          <w:r>
            <w:rPr>
              <w:sz w:val="32"/>
              <w:szCs w:val="32"/>
            </w:rPr>
            <w:fldChar w:fldCharType="separate"/>
          </w:r>
          <w:r>
            <w:rPr>
              <w:rFonts w:hint="eastAsia" w:ascii="仿宋" w:hAnsi="仿宋" w:eastAsia="仿宋" w:cs="仿宋"/>
              <w:bCs/>
              <w:sz w:val="32"/>
              <w:szCs w:val="32"/>
            </w:rPr>
            <w:t>第一部分 环境资源刑事案件基本情况</w:t>
          </w:r>
          <w:r>
            <w:rPr>
              <w:rFonts w:hint="eastAsia" w:ascii="仿宋" w:hAnsi="仿宋" w:eastAsia="仿宋" w:cs="仿宋"/>
              <w:bCs/>
              <w:sz w:val="32"/>
              <w:szCs w:val="32"/>
            </w:rPr>
            <w:tab/>
          </w:r>
          <w:r>
            <w:rPr>
              <w:rFonts w:hint="eastAsia" w:ascii="仿宋" w:hAnsi="仿宋" w:eastAsia="仿宋" w:cs="仿宋"/>
              <w:bCs/>
              <w:sz w:val="32"/>
              <w:szCs w:val="32"/>
            </w:rPr>
            <w:t>2</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"_Toc31348" </w:instrText>
          </w:r>
          <w:r>
            <w:rPr>
              <w:sz w:val="32"/>
              <w:szCs w:val="32"/>
            </w:rPr>
            <w:fldChar w:fldCharType="separate"/>
          </w:r>
          <w:r>
            <w:rPr>
              <w:rFonts w:hint="eastAsia" w:ascii="仿宋" w:hAnsi="仿宋" w:eastAsia="仿宋" w:cs="仿宋"/>
              <w:bCs/>
              <w:sz w:val="32"/>
              <w:szCs w:val="32"/>
            </w:rPr>
            <w:t>一、案件情况</w:t>
          </w:r>
          <w:r>
            <w:rPr>
              <w:rFonts w:hint="eastAsia" w:ascii="仿宋" w:hAnsi="仿宋" w:eastAsia="仿宋" w:cs="仿宋"/>
              <w:bCs/>
              <w:sz w:val="32"/>
              <w:szCs w:val="32"/>
            </w:rPr>
            <w:tab/>
          </w:r>
          <w:r>
            <w:rPr>
              <w:rFonts w:hint="eastAsia" w:ascii="仿宋" w:hAnsi="仿宋" w:eastAsia="仿宋" w:cs="仿宋"/>
              <w:bCs/>
              <w:sz w:val="32"/>
              <w:szCs w:val="32"/>
            </w:rPr>
            <w:t>2</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"_Toc2078" </w:instrText>
          </w:r>
          <w:r>
            <w:rPr>
              <w:sz w:val="32"/>
              <w:szCs w:val="32"/>
            </w:rPr>
            <w:fldChar w:fldCharType="separate"/>
          </w:r>
          <w:r>
            <w:rPr>
              <w:rFonts w:hint="eastAsia" w:ascii="仿宋" w:hAnsi="仿宋" w:eastAsia="仿宋" w:cs="仿宋"/>
              <w:bCs/>
              <w:sz w:val="32"/>
              <w:szCs w:val="32"/>
            </w:rPr>
            <w:t>二、案件特点</w:t>
          </w:r>
          <w:r>
            <w:rPr>
              <w:rFonts w:hint="eastAsia" w:ascii="仿宋" w:hAnsi="仿宋" w:eastAsia="仿宋" w:cs="仿宋"/>
              <w:bCs/>
              <w:sz w:val="32"/>
              <w:szCs w:val="32"/>
            </w:rPr>
            <w:tab/>
          </w:r>
          <w:r>
            <w:rPr>
              <w:rFonts w:hint="eastAsia" w:ascii="仿宋" w:hAnsi="仿宋" w:eastAsia="仿宋" w:cs="仿宋"/>
              <w:bCs/>
              <w:sz w:val="32"/>
              <w:szCs w:val="32"/>
            </w:rPr>
            <w:t>4</w:t>
          </w:r>
          <w:r>
            <w:rPr>
              <w:rFonts w:hint="eastAsia" w:ascii="仿宋" w:hAnsi="仿宋" w:eastAsia="仿宋" w:cs="仿宋"/>
              <w:bCs/>
              <w:sz w:val="32"/>
              <w:szCs w:val="32"/>
            </w:rPr>
            <w:fldChar w:fldCharType="end"/>
          </w:r>
        </w:p>
        <w:p>
          <w:pPr>
            <w:pStyle w:val="21"/>
            <w:tabs>
              <w:tab w:val="right" w:leader="dot" w:pos="8844"/>
            </w:tabs>
            <w:spacing w:line="360" w:lineRule="auto"/>
            <w:rPr>
              <w:rFonts w:ascii="仿宋" w:hAnsi="仿宋" w:eastAsia="仿宋" w:cs="仿宋"/>
              <w:bCs/>
              <w:sz w:val="32"/>
              <w:szCs w:val="32"/>
            </w:rPr>
          </w:pPr>
          <w:r>
            <w:rPr>
              <w:sz w:val="32"/>
              <w:szCs w:val="32"/>
            </w:rPr>
            <w:fldChar w:fldCharType="begin"/>
          </w:r>
          <w:r>
            <w:rPr>
              <w:sz w:val="32"/>
              <w:szCs w:val="32"/>
            </w:rPr>
            <w:instrText xml:space="preserve"> HYPERLINK \l "_Toc28490" </w:instrText>
          </w:r>
          <w:r>
            <w:rPr>
              <w:sz w:val="32"/>
              <w:szCs w:val="32"/>
            </w:rPr>
            <w:fldChar w:fldCharType="separate"/>
          </w:r>
          <w:r>
            <w:rPr>
              <w:rFonts w:hint="eastAsia" w:ascii="仿宋" w:hAnsi="仿宋" w:eastAsia="仿宋" w:cs="仿宋"/>
              <w:bCs/>
              <w:sz w:val="32"/>
              <w:szCs w:val="32"/>
            </w:rPr>
            <w:t>第二部分 环境资源检察工作情况</w:t>
          </w:r>
          <w:r>
            <w:rPr>
              <w:rFonts w:hint="eastAsia" w:ascii="仿宋" w:hAnsi="仿宋" w:eastAsia="仿宋" w:cs="仿宋"/>
              <w:bCs/>
              <w:sz w:val="32"/>
              <w:szCs w:val="32"/>
            </w:rPr>
            <w:tab/>
          </w:r>
          <w:r>
            <w:rPr>
              <w:rFonts w:hint="eastAsia" w:ascii="仿宋" w:hAnsi="仿宋" w:eastAsia="仿宋" w:cs="仿宋"/>
              <w:bCs/>
              <w:sz w:val="32"/>
              <w:szCs w:val="32"/>
            </w:rPr>
            <w:t>7</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"_Toc2683" </w:instrText>
          </w:r>
          <w:r>
            <w:rPr>
              <w:sz w:val="32"/>
              <w:szCs w:val="32"/>
            </w:rPr>
            <w:fldChar w:fldCharType="separate"/>
          </w:r>
          <w:r>
            <w:rPr>
              <w:rFonts w:hint="eastAsia" w:ascii="仿宋" w:hAnsi="仿宋" w:eastAsia="仿宋" w:cs="仿宋"/>
              <w:bCs/>
              <w:sz w:val="32"/>
              <w:szCs w:val="32"/>
            </w:rPr>
            <w:t>一、立足司法办案加大生态环境司法保护力度</w:t>
          </w:r>
          <w:r>
            <w:rPr>
              <w:rFonts w:hint="eastAsia" w:ascii="仿宋" w:hAnsi="仿宋" w:eastAsia="仿宋" w:cs="仿宋"/>
              <w:bCs/>
              <w:sz w:val="32"/>
              <w:szCs w:val="32"/>
            </w:rPr>
            <w:tab/>
          </w:r>
          <w:r>
            <w:rPr>
              <w:rFonts w:hint="eastAsia" w:ascii="仿宋" w:hAnsi="仿宋" w:eastAsia="仿宋" w:cs="仿宋"/>
              <w:bCs/>
              <w:sz w:val="32"/>
              <w:szCs w:val="32"/>
            </w:rPr>
            <w:t>7</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"_Toc10056" </w:instrText>
          </w:r>
          <w:r>
            <w:rPr>
              <w:sz w:val="32"/>
              <w:szCs w:val="32"/>
            </w:rPr>
            <w:fldChar w:fldCharType="separate"/>
          </w:r>
          <w:r>
            <w:rPr>
              <w:rFonts w:hint="eastAsia" w:ascii="仿宋" w:hAnsi="仿宋" w:eastAsia="仿宋" w:cs="仿宋"/>
              <w:bCs/>
              <w:sz w:val="32"/>
              <w:szCs w:val="32"/>
            </w:rPr>
            <w:t>二、发挥职能优势推动生态环境治理</w:t>
          </w:r>
          <w:r>
            <w:rPr>
              <w:rFonts w:hint="eastAsia" w:ascii="仿宋" w:hAnsi="仿宋" w:eastAsia="仿宋" w:cs="仿宋"/>
              <w:bCs/>
              <w:sz w:val="32"/>
              <w:szCs w:val="32"/>
            </w:rPr>
            <w:tab/>
          </w:r>
          <w:r>
            <w:rPr>
              <w:rFonts w:hint="eastAsia" w:ascii="仿宋" w:hAnsi="仿宋" w:eastAsia="仿宋" w:cs="仿宋"/>
              <w:bCs/>
              <w:sz w:val="32"/>
              <w:szCs w:val="32"/>
            </w:rPr>
            <w:t>11</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"_Toc11506" </w:instrText>
          </w:r>
          <w:r>
            <w:rPr>
              <w:sz w:val="32"/>
              <w:szCs w:val="32"/>
            </w:rPr>
            <w:fldChar w:fldCharType="separate"/>
          </w:r>
          <w:r>
            <w:rPr>
              <w:rFonts w:hint="eastAsia" w:ascii="仿宋" w:hAnsi="仿宋" w:eastAsia="仿宋" w:cs="仿宋"/>
              <w:bCs/>
              <w:sz w:val="32"/>
              <w:szCs w:val="32"/>
            </w:rPr>
            <w:t>三、培育适应环境资源检察的专业化队伍</w:t>
          </w:r>
          <w:r>
            <w:rPr>
              <w:rFonts w:hint="eastAsia" w:ascii="仿宋" w:hAnsi="仿宋" w:eastAsia="仿宋" w:cs="仿宋"/>
              <w:bCs/>
              <w:sz w:val="32"/>
              <w:szCs w:val="32"/>
            </w:rPr>
            <w:tab/>
          </w:r>
          <w:r>
            <w:rPr>
              <w:rFonts w:hint="eastAsia" w:ascii="仿宋" w:hAnsi="仿宋" w:eastAsia="仿宋" w:cs="仿宋"/>
              <w:bCs/>
              <w:sz w:val="32"/>
              <w:szCs w:val="32"/>
            </w:rPr>
            <w:t>14</w:t>
          </w:r>
          <w:r>
            <w:rPr>
              <w:rFonts w:hint="eastAsia" w:ascii="仿宋" w:hAnsi="仿宋" w:eastAsia="仿宋" w:cs="仿宋"/>
              <w:bCs/>
              <w:sz w:val="32"/>
              <w:szCs w:val="32"/>
            </w:rPr>
            <w:fldChar w:fldCharType="end"/>
          </w:r>
        </w:p>
        <w:p>
          <w:pPr>
            <w:pStyle w:val="21"/>
            <w:tabs>
              <w:tab w:val="right" w:leader="dot" w:pos="8844"/>
            </w:tabs>
            <w:spacing w:line="360" w:lineRule="auto"/>
            <w:rPr>
              <w:rFonts w:ascii="仿宋" w:hAnsi="仿宋" w:eastAsia="仿宋" w:cs="仿宋"/>
              <w:bCs/>
              <w:sz w:val="32"/>
              <w:szCs w:val="32"/>
            </w:rPr>
          </w:pPr>
          <w:r>
            <w:rPr>
              <w:sz w:val="32"/>
              <w:szCs w:val="32"/>
            </w:rPr>
            <w:fldChar w:fldCharType="begin"/>
          </w:r>
          <w:r>
            <w:rPr>
              <w:sz w:val="32"/>
              <w:szCs w:val="32"/>
            </w:rPr>
            <w:instrText xml:space="preserve"> HYPERLINK \l "_Toc21045" </w:instrText>
          </w:r>
          <w:r>
            <w:rPr>
              <w:sz w:val="32"/>
              <w:szCs w:val="32"/>
            </w:rPr>
            <w:fldChar w:fldCharType="separate"/>
          </w:r>
          <w:r>
            <w:rPr>
              <w:rFonts w:hint="eastAsia" w:ascii="仿宋" w:hAnsi="仿宋" w:eastAsia="仿宋" w:cs="仿宋"/>
              <w:bCs/>
              <w:sz w:val="32"/>
              <w:szCs w:val="32"/>
            </w:rPr>
            <w:t>第三部分 集中管辖检察工作成效</w:t>
          </w:r>
          <w:r>
            <w:rPr>
              <w:rFonts w:hint="eastAsia" w:ascii="仿宋" w:hAnsi="仿宋" w:eastAsia="仿宋" w:cs="仿宋"/>
              <w:bCs/>
              <w:sz w:val="32"/>
              <w:szCs w:val="32"/>
            </w:rPr>
            <w:tab/>
          </w:r>
          <w:r>
            <w:rPr>
              <w:rFonts w:hint="eastAsia" w:ascii="仿宋" w:hAnsi="仿宋" w:eastAsia="仿宋" w:cs="仿宋"/>
              <w:bCs/>
              <w:sz w:val="32"/>
              <w:szCs w:val="32"/>
            </w:rPr>
            <w:t>16</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"_Toc8283" </w:instrText>
          </w:r>
          <w:r>
            <w:rPr>
              <w:sz w:val="32"/>
              <w:szCs w:val="32"/>
            </w:rPr>
            <w:fldChar w:fldCharType="separate"/>
          </w:r>
          <w:r>
            <w:rPr>
              <w:rFonts w:hint="eastAsia" w:ascii="仿宋" w:hAnsi="仿宋" w:eastAsia="仿宋" w:cs="仿宋"/>
              <w:bCs/>
              <w:sz w:val="32"/>
              <w:szCs w:val="32"/>
            </w:rPr>
            <w:t>一、打造了跨区划检察改革“江苏样板”</w:t>
          </w:r>
          <w:r>
            <w:rPr>
              <w:rFonts w:hint="eastAsia" w:ascii="仿宋" w:hAnsi="仿宋" w:eastAsia="仿宋" w:cs="仿宋"/>
              <w:bCs/>
              <w:sz w:val="32"/>
              <w:szCs w:val="32"/>
            </w:rPr>
            <w:tab/>
          </w:r>
          <w:r>
            <w:rPr>
              <w:rFonts w:hint="eastAsia" w:ascii="仿宋" w:hAnsi="仿宋" w:eastAsia="仿宋" w:cs="仿宋"/>
              <w:bCs/>
              <w:sz w:val="32"/>
              <w:szCs w:val="32"/>
            </w:rPr>
            <w:t>16</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"_Toc6668" </w:instrText>
          </w:r>
          <w:r>
            <w:rPr>
              <w:sz w:val="32"/>
              <w:szCs w:val="32"/>
            </w:rPr>
            <w:fldChar w:fldCharType="separate"/>
          </w:r>
          <w:r>
            <w:rPr>
              <w:rFonts w:hint="eastAsia" w:ascii="仿宋" w:hAnsi="仿宋" w:eastAsia="仿宋" w:cs="仿宋"/>
              <w:bCs/>
              <w:sz w:val="32"/>
              <w:szCs w:val="32"/>
            </w:rPr>
            <w:t>二、提升了铁检院检察贡献度</w:t>
          </w:r>
          <w:r>
            <w:rPr>
              <w:rFonts w:hint="eastAsia" w:ascii="仿宋" w:hAnsi="仿宋" w:eastAsia="仿宋" w:cs="仿宋"/>
              <w:bCs/>
              <w:sz w:val="32"/>
              <w:szCs w:val="32"/>
            </w:rPr>
            <w:tab/>
          </w:r>
          <w:r>
            <w:rPr>
              <w:rFonts w:hint="eastAsia" w:ascii="仿宋" w:hAnsi="仿宋" w:eastAsia="仿宋" w:cs="仿宋"/>
              <w:bCs/>
              <w:sz w:val="32"/>
              <w:szCs w:val="32"/>
            </w:rPr>
            <w:t>16</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"_Toc26301" </w:instrText>
          </w:r>
          <w:r>
            <w:rPr>
              <w:sz w:val="32"/>
              <w:szCs w:val="32"/>
            </w:rPr>
            <w:fldChar w:fldCharType="separate"/>
          </w:r>
          <w:r>
            <w:rPr>
              <w:rFonts w:hint="eastAsia" w:ascii="仿宋" w:hAnsi="仿宋" w:eastAsia="仿宋" w:cs="仿宋"/>
              <w:bCs/>
              <w:sz w:val="32"/>
              <w:szCs w:val="32"/>
            </w:rPr>
            <w:t>三、锻造了专业化办案团队</w:t>
          </w:r>
          <w:r>
            <w:rPr>
              <w:rFonts w:hint="eastAsia" w:ascii="仿宋" w:hAnsi="仿宋" w:eastAsia="仿宋" w:cs="仿宋"/>
              <w:bCs/>
              <w:sz w:val="32"/>
              <w:szCs w:val="32"/>
            </w:rPr>
            <w:tab/>
          </w:r>
          <w:r>
            <w:rPr>
              <w:rFonts w:hint="eastAsia" w:ascii="仿宋" w:hAnsi="仿宋" w:eastAsia="仿宋" w:cs="仿宋"/>
              <w:bCs/>
              <w:sz w:val="32"/>
              <w:szCs w:val="32"/>
            </w:rPr>
            <w:t>17</w:t>
          </w:r>
          <w:r>
            <w:rPr>
              <w:rFonts w:hint="eastAsia" w:ascii="仿宋" w:hAnsi="仿宋" w:eastAsia="仿宋" w:cs="仿宋"/>
              <w:bCs/>
              <w:sz w:val="32"/>
              <w:szCs w:val="32"/>
            </w:rPr>
            <w:fldChar w:fldCharType="end"/>
          </w:r>
        </w:p>
        <w:p>
          <w:pPr>
            <w:pStyle w:val="21"/>
            <w:tabs>
              <w:tab w:val="right" w:leader="dot" w:pos="8844"/>
            </w:tabs>
            <w:spacing w:line="360" w:lineRule="auto"/>
            <w:rPr>
              <w:rFonts w:ascii="仿宋" w:hAnsi="仿宋" w:eastAsia="仿宋" w:cs="仿宋"/>
              <w:bCs/>
              <w:sz w:val="32"/>
              <w:szCs w:val="32"/>
            </w:rPr>
          </w:pPr>
          <w:r>
            <w:rPr>
              <w:sz w:val="32"/>
              <w:szCs w:val="32"/>
            </w:rPr>
            <w:fldChar w:fldCharType="begin"/>
          </w:r>
          <w:r>
            <w:rPr>
              <w:sz w:val="32"/>
              <w:szCs w:val="32"/>
            </w:rPr>
            <w:instrText xml:space="preserve"> HYPERLINK \l "_Toc24779" </w:instrText>
          </w:r>
          <w:r>
            <w:rPr>
              <w:sz w:val="32"/>
              <w:szCs w:val="32"/>
            </w:rPr>
            <w:fldChar w:fldCharType="separate"/>
          </w:r>
          <w:r>
            <w:rPr>
              <w:rFonts w:hint="eastAsia" w:ascii="仿宋" w:hAnsi="仿宋" w:eastAsia="仿宋" w:cs="仿宋"/>
              <w:bCs/>
              <w:sz w:val="32"/>
              <w:szCs w:val="32"/>
            </w:rPr>
            <w:t>第四部分 工作展望与发展方向</w:t>
          </w:r>
          <w:r>
            <w:rPr>
              <w:rFonts w:hint="eastAsia" w:ascii="仿宋" w:hAnsi="仿宋" w:eastAsia="仿宋" w:cs="仿宋"/>
              <w:bCs/>
              <w:sz w:val="32"/>
              <w:szCs w:val="32"/>
            </w:rPr>
            <w:tab/>
          </w:r>
          <w:r>
            <w:rPr>
              <w:rFonts w:hint="eastAsia" w:ascii="仿宋" w:hAnsi="仿宋" w:eastAsia="仿宋" w:cs="仿宋"/>
              <w:bCs/>
              <w:sz w:val="32"/>
              <w:szCs w:val="32"/>
            </w:rPr>
            <w:t>17</w:t>
          </w:r>
          <w:r>
            <w:rPr>
              <w:rFonts w:hint="eastAsia" w:ascii="仿宋" w:hAnsi="仿宋" w:eastAsia="仿宋" w:cs="仿宋"/>
              <w:bCs/>
              <w:sz w:val="32"/>
              <w:szCs w:val="32"/>
            </w:rPr>
            <w:fldChar w:fldCharType="end"/>
          </w:r>
        </w:p>
        <w:p>
          <w:pPr>
            <w:pStyle w:val="21"/>
            <w:tabs>
              <w:tab w:val="right" w:leader="dot" w:pos="8844"/>
            </w:tabs>
            <w:spacing w:line="360" w:lineRule="auto"/>
            <w:rPr>
              <w:rFonts w:ascii="仿宋" w:hAnsi="仿宋" w:eastAsia="仿宋" w:cs="仿宋"/>
              <w:bCs/>
              <w:sz w:val="32"/>
              <w:szCs w:val="32"/>
            </w:rPr>
          </w:pPr>
          <w:r>
            <w:rPr>
              <w:sz w:val="32"/>
              <w:szCs w:val="32"/>
            </w:rPr>
            <w:fldChar w:fldCharType="begin"/>
          </w:r>
          <w:r>
            <w:rPr>
              <w:sz w:val="32"/>
              <w:szCs w:val="32"/>
            </w:rPr>
            <w:instrText xml:space="preserve"> HYPERLINK \l "_Toc27115" </w:instrText>
          </w:r>
          <w:r>
            <w:rPr>
              <w:sz w:val="32"/>
              <w:szCs w:val="32"/>
            </w:rPr>
            <w:fldChar w:fldCharType="separate"/>
          </w:r>
          <w:r>
            <w:rPr>
              <w:rFonts w:hint="eastAsia" w:ascii="仿宋" w:hAnsi="仿宋" w:eastAsia="仿宋" w:cs="仿宋"/>
              <w:bCs/>
              <w:sz w:val="32"/>
              <w:szCs w:val="32"/>
            </w:rPr>
            <w:t>第五部分 典型案例</w:t>
          </w:r>
          <w:r>
            <w:rPr>
              <w:rFonts w:hint="eastAsia" w:ascii="仿宋" w:hAnsi="仿宋" w:eastAsia="仿宋" w:cs="仿宋"/>
              <w:bCs/>
              <w:sz w:val="32"/>
              <w:szCs w:val="32"/>
            </w:rPr>
            <w:tab/>
          </w:r>
          <w:r>
            <w:rPr>
              <w:rFonts w:hint="eastAsia" w:ascii="仿宋" w:hAnsi="仿宋" w:eastAsia="仿宋" w:cs="仿宋"/>
              <w:bCs/>
              <w:sz w:val="32"/>
              <w:szCs w:val="32"/>
            </w:rPr>
            <w:t>19</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"_Toc24991" </w:instrText>
          </w:r>
          <w:r>
            <w:rPr>
              <w:sz w:val="32"/>
              <w:szCs w:val="32"/>
            </w:rPr>
            <w:fldChar w:fldCharType="separate"/>
          </w:r>
          <w:r>
            <w:rPr>
              <w:rFonts w:hint="eastAsia" w:ascii="仿宋" w:hAnsi="仿宋" w:eastAsia="仿宋" w:cs="仿宋"/>
              <w:bCs/>
              <w:sz w:val="32"/>
              <w:szCs w:val="32"/>
            </w:rPr>
            <w:t>一、周某某等8人非法采矿、掩饰、隐瞒犯罪所得案</w:t>
          </w:r>
          <w:r>
            <w:rPr>
              <w:rFonts w:hint="eastAsia" w:ascii="仿宋" w:hAnsi="仿宋" w:eastAsia="仿宋" w:cs="仿宋"/>
              <w:bCs/>
              <w:sz w:val="32"/>
              <w:szCs w:val="32"/>
            </w:rPr>
            <w:tab/>
          </w:r>
          <w:r>
            <w:rPr>
              <w:rFonts w:hint="eastAsia" w:ascii="仿宋" w:hAnsi="仿宋" w:eastAsia="仿宋" w:cs="仿宋"/>
              <w:bCs/>
              <w:sz w:val="32"/>
              <w:szCs w:val="32"/>
            </w:rPr>
            <w:t>19</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"_Toc5752" </w:instrText>
          </w:r>
          <w:r>
            <w:rPr>
              <w:sz w:val="32"/>
              <w:szCs w:val="32"/>
            </w:rPr>
            <w:fldChar w:fldCharType="separate"/>
          </w:r>
          <w:r>
            <w:rPr>
              <w:rFonts w:hint="eastAsia" w:ascii="仿宋" w:hAnsi="仿宋" w:eastAsia="仿宋" w:cs="仿宋"/>
              <w:bCs/>
              <w:sz w:val="32"/>
              <w:szCs w:val="32"/>
            </w:rPr>
            <w:t>二、黄某某非法收购、出售珍贵、濒危野生动物案</w:t>
          </w:r>
          <w:r>
            <w:rPr>
              <w:rFonts w:hint="eastAsia" w:ascii="仿宋" w:hAnsi="仿宋" w:eastAsia="仿宋" w:cs="仿宋"/>
              <w:bCs/>
              <w:sz w:val="32"/>
              <w:szCs w:val="32"/>
            </w:rPr>
            <w:tab/>
          </w:r>
          <w:r>
            <w:rPr>
              <w:rFonts w:hint="eastAsia" w:ascii="仿宋" w:hAnsi="仿宋" w:eastAsia="仿宋" w:cs="仿宋"/>
              <w:bCs/>
              <w:sz w:val="32"/>
              <w:szCs w:val="32"/>
            </w:rPr>
            <w:t>23</w:t>
          </w:r>
          <w:r>
            <w:rPr>
              <w:rFonts w:hint="eastAsia" w:ascii="仿宋" w:hAnsi="仿宋" w:eastAsia="仿宋" w:cs="仿宋"/>
              <w:bCs/>
              <w:sz w:val="32"/>
              <w:szCs w:val="32"/>
            </w:rPr>
            <w:fldChar w:fldCharType="end"/>
          </w:r>
        </w:p>
        <w:p>
          <w:pPr>
            <w:pStyle w:val="22"/>
            <w:tabs>
              <w:tab w:val="right" w:leader="dot" w:pos="8844"/>
            </w:tabs>
            <w:spacing w:line="360" w:lineRule="auto"/>
            <w:ind w:left="420"/>
            <w:rPr>
              <w:rFonts w:ascii="仿宋" w:hAnsi="仿宋" w:eastAsia="仿宋" w:cs="仿宋"/>
              <w:bCs/>
              <w:sz w:val="32"/>
              <w:szCs w:val="32"/>
            </w:rPr>
          </w:pPr>
          <w:r>
            <w:rPr>
              <w:sz w:val="32"/>
              <w:szCs w:val="32"/>
            </w:rPr>
            <w:fldChar w:fldCharType="begin"/>
          </w:r>
          <w:r>
            <w:rPr>
              <w:sz w:val="32"/>
              <w:szCs w:val="32"/>
            </w:rPr>
            <w:instrText xml:space="preserve"> HYPERLINK \l "_Toc24474" </w:instrText>
          </w:r>
          <w:r>
            <w:rPr>
              <w:sz w:val="32"/>
              <w:szCs w:val="32"/>
            </w:rPr>
            <w:fldChar w:fldCharType="separate"/>
          </w:r>
          <w:r>
            <w:rPr>
              <w:rFonts w:hint="eastAsia" w:ascii="仿宋" w:hAnsi="仿宋" w:eastAsia="仿宋" w:cs="仿宋"/>
              <w:bCs/>
              <w:sz w:val="32"/>
              <w:szCs w:val="32"/>
            </w:rPr>
            <w:t>三、江苏A电力设备制造有限公司、刘某某等人污染环境案</w:t>
          </w:r>
          <w:r>
            <w:rPr>
              <w:rFonts w:hint="eastAsia" w:ascii="仿宋" w:hAnsi="仿宋" w:eastAsia="仿宋" w:cs="仿宋"/>
              <w:bCs/>
              <w:sz w:val="32"/>
              <w:szCs w:val="32"/>
            </w:rPr>
            <w:tab/>
          </w:r>
          <w:r>
            <w:rPr>
              <w:rFonts w:hint="eastAsia" w:ascii="仿宋" w:hAnsi="仿宋" w:eastAsia="仿宋" w:cs="仿宋"/>
              <w:bCs/>
              <w:sz w:val="32"/>
              <w:szCs w:val="32"/>
            </w:rPr>
            <w:t>25</w:t>
          </w:r>
          <w:r>
            <w:rPr>
              <w:rFonts w:hint="eastAsia" w:ascii="仿宋" w:hAnsi="仿宋" w:eastAsia="仿宋" w:cs="仿宋"/>
              <w:bCs/>
              <w:sz w:val="32"/>
              <w:szCs w:val="32"/>
            </w:rPr>
            <w:fldChar w:fldCharType="end"/>
          </w:r>
        </w:p>
        <w:p>
          <w:pPr>
            <w:pStyle w:val="22"/>
            <w:tabs>
              <w:tab w:val="right" w:leader="dot" w:pos="8844"/>
            </w:tabs>
            <w:spacing w:line="360" w:lineRule="auto"/>
            <w:ind w:left="420"/>
            <w:rPr>
              <w:sz w:val="28"/>
              <w:szCs w:val="28"/>
            </w:rPr>
          </w:pPr>
          <w:r>
            <w:rPr>
              <w:sz w:val="32"/>
              <w:szCs w:val="32"/>
            </w:rPr>
            <w:fldChar w:fldCharType="begin"/>
          </w:r>
          <w:r>
            <w:rPr>
              <w:sz w:val="32"/>
              <w:szCs w:val="32"/>
            </w:rPr>
            <w:instrText xml:space="preserve"> HYPERLINK \l "_Toc1128" </w:instrText>
          </w:r>
          <w:r>
            <w:rPr>
              <w:sz w:val="32"/>
              <w:szCs w:val="32"/>
            </w:rPr>
            <w:fldChar w:fldCharType="separate"/>
          </w:r>
          <w:r>
            <w:rPr>
              <w:rFonts w:hint="eastAsia" w:ascii="仿宋" w:hAnsi="仿宋" w:eastAsia="仿宋" w:cs="仿宋"/>
              <w:bCs/>
              <w:sz w:val="32"/>
              <w:szCs w:val="32"/>
            </w:rPr>
            <w:t>四、张某某等人污染环境案</w:t>
          </w:r>
          <w:r>
            <w:rPr>
              <w:rFonts w:hint="eastAsia" w:ascii="仿宋" w:hAnsi="仿宋" w:eastAsia="仿宋" w:cs="仿宋"/>
              <w:bCs/>
              <w:sz w:val="32"/>
              <w:szCs w:val="32"/>
            </w:rPr>
            <w:tab/>
          </w:r>
          <w:r>
            <w:rPr>
              <w:rFonts w:hint="eastAsia" w:ascii="仿宋" w:hAnsi="仿宋" w:eastAsia="仿宋" w:cs="仿宋"/>
              <w:bCs/>
              <w:sz w:val="32"/>
              <w:szCs w:val="32"/>
            </w:rPr>
            <w:t>28</w:t>
          </w:r>
          <w:r>
            <w:rPr>
              <w:rFonts w:hint="eastAsia" w:ascii="仿宋" w:hAnsi="仿宋" w:eastAsia="仿宋" w:cs="仿宋"/>
              <w:bCs/>
              <w:sz w:val="32"/>
              <w:szCs w:val="32"/>
            </w:rPr>
            <w:fldChar w:fldCharType="end"/>
          </w:r>
        </w:p>
        <w:p>
          <w:pPr>
            <w:spacing w:line="360" w:lineRule="auto"/>
            <w:rPr>
              <w:rFonts w:ascii="黑体" w:hAnsi="黑体" w:eastAsia="黑体"/>
              <w:sz w:val="36"/>
              <w:szCs w:val="36"/>
            </w:rPr>
          </w:pPr>
          <w:r>
            <w:rPr>
              <w:b/>
              <w:sz w:val="28"/>
              <w:szCs w:val="28"/>
            </w:rPr>
            <w:fldChar w:fldCharType="end"/>
          </w:r>
          <w:bookmarkStart w:id="0" w:name="_Toc5371"/>
        </w:p>
      </w:sdtContent>
    </w:sdt>
    <w:p>
      <w:pPr>
        <w:widowControl/>
        <w:jc w:val="center"/>
        <w:rPr>
          <w:rFonts w:hint="eastAsia" w:ascii="黑体" w:hAnsi="黑体" w:eastAsia="黑体"/>
          <w:sz w:val="36"/>
          <w:szCs w:val="36"/>
        </w:rPr>
      </w:pPr>
      <w:r>
        <w:rPr>
          <w:rFonts w:ascii="黑体" w:hAnsi="黑体" w:eastAsia="黑体"/>
          <w:sz w:val="36"/>
          <w:szCs w:val="36"/>
        </w:rPr>
        <w:br w:type="page"/>
      </w:r>
      <w:r>
        <w:rPr>
          <w:rFonts w:hint="eastAsia" w:ascii="黑体" w:hAnsi="黑体" w:eastAsia="黑体"/>
          <w:sz w:val="36"/>
          <w:szCs w:val="36"/>
        </w:rPr>
        <w:t>前言</w:t>
      </w:r>
      <w:bookmarkEnd w:id="0"/>
    </w:p>
    <w:p>
      <w:pPr>
        <w:widowControl/>
        <w:jc w:val="center"/>
        <w:rPr>
          <w:rFonts w:ascii="黑体" w:hAnsi="黑体" w:eastAsia="黑体"/>
          <w:sz w:val="36"/>
          <w:szCs w:val="36"/>
        </w:rPr>
      </w:pPr>
    </w:p>
    <w:p>
      <w:pPr>
        <w:ind w:firstLine="640" w:firstLineChars="200"/>
        <w:rPr>
          <w:rFonts w:ascii="仿宋" w:hAnsi="仿宋" w:eastAsia="仿宋" w:cs="仿宋"/>
          <w:sz w:val="32"/>
          <w:szCs w:val="40"/>
        </w:rPr>
      </w:pPr>
      <w:r>
        <w:rPr>
          <w:rFonts w:hint="eastAsia" w:ascii="仿宋" w:hAnsi="仿宋" w:eastAsia="仿宋" w:cs="仿宋"/>
          <w:sz w:val="32"/>
          <w:szCs w:val="40"/>
        </w:rPr>
        <w:t>检察改革是我国司法体制改革的重要组成部分，是检察制度和检察工作发展的不竭动力。在人民检察事业九十余载的辉煌征途中，徐州铁路运输检察院为“铁”而生，因时而兴。和平建设年代，为铁路运输安全和地方经济发展保驾护航。进入新时代，作为江苏省人民检察院的派出机构，徐州铁检院奋发作为，秉持“小院也有大作为”的目标定位，构建“跨区划+铁路”检察模式，以集中管辖徐州市域环境资源刑事案件为抓手，着力打造“检护生态”品牌，服务深入打好污染防治攻坚战，保卫徐州一方“蓝天碧水净土”，为深化铁检机关改革走出了一条崭新的发展道路，成为跨行政区划检察改革的生动缩影。</w:t>
      </w:r>
    </w:p>
    <w:p>
      <w:pPr>
        <w:ind w:firstLine="640" w:firstLineChars="200"/>
        <w:rPr>
          <w:rFonts w:ascii="仿宋" w:hAnsi="仿宋" w:eastAsia="仿宋" w:cs="仿宋"/>
          <w:sz w:val="32"/>
          <w:szCs w:val="40"/>
        </w:rPr>
      </w:pPr>
      <w:r>
        <w:rPr>
          <w:rFonts w:hint="eastAsia" w:ascii="仿宋" w:hAnsi="仿宋" w:eastAsia="仿宋" w:cs="仿宋"/>
          <w:sz w:val="32"/>
          <w:szCs w:val="40"/>
        </w:rPr>
        <w:t>“环境就是民生，青山就是美丽，蓝天也是幸福”，生态文明建设是关乎中华民族永续发展的根本大计。党的十八大以来，以习近平同志为核心的党中央以前所未有的力度抓生态文明建设，美丽中国建设迈出重大步伐。徐州铁检院牢固树立依法能动履职理念，主动对标对表新时代新发展阶段党和人民的新要求，依法办理环境资源刑事案件，注重生态环境修复，实施恢复性司法，以检察供给侧改革为社会提供更优质的生态产品、法治产品、检察产品，真正把为大局服务、为人民司法落到实处。</w:t>
      </w:r>
    </w:p>
    <w:p>
      <w:pPr>
        <w:ind w:firstLine="640" w:firstLineChars="200"/>
        <w:rPr>
          <w:rFonts w:ascii="仿宋" w:hAnsi="仿宋" w:eastAsia="仿宋" w:cs="仿宋"/>
          <w:sz w:val="32"/>
          <w:szCs w:val="40"/>
        </w:rPr>
      </w:pPr>
      <w:r>
        <w:rPr>
          <w:rFonts w:hint="eastAsia" w:ascii="仿宋" w:hAnsi="仿宋" w:eastAsia="仿宋" w:cs="仿宋"/>
          <w:sz w:val="32"/>
          <w:szCs w:val="40"/>
        </w:rPr>
        <w:t>为</w:t>
      </w:r>
      <w:r>
        <w:rPr>
          <w:rFonts w:ascii="仿宋" w:hAnsi="仿宋" w:eastAsia="仿宋" w:cs="仿宋"/>
          <w:sz w:val="32"/>
          <w:szCs w:val="40"/>
        </w:rPr>
        <w:t>进一步深化对</w:t>
      </w:r>
      <w:r>
        <w:rPr>
          <w:rFonts w:hint="eastAsia" w:ascii="仿宋" w:hAnsi="仿宋" w:eastAsia="仿宋" w:cs="仿宋"/>
          <w:sz w:val="32"/>
          <w:szCs w:val="40"/>
        </w:rPr>
        <w:t>环境资源</w:t>
      </w:r>
      <w:r>
        <w:rPr>
          <w:rFonts w:ascii="仿宋" w:hAnsi="仿宋" w:eastAsia="仿宋" w:cs="仿宋"/>
          <w:sz w:val="32"/>
          <w:szCs w:val="40"/>
        </w:rPr>
        <w:t>检察工作规律的认识，</w:t>
      </w:r>
      <w:r>
        <w:rPr>
          <w:rFonts w:hint="eastAsia" w:ascii="仿宋" w:hAnsi="仿宋" w:eastAsia="仿宋" w:cs="仿宋"/>
          <w:sz w:val="32"/>
          <w:szCs w:val="40"/>
        </w:rPr>
        <w:t>更好地凝聚生态环境司法保护合力，自觉接受社会监督，通过分析本院五年来办理环境资源刑事案件的探索实践，特发布《徐州铁路运输检察院环境资源刑事案件集中管辖五周年白皮书》。</w:t>
      </w:r>
      <w:bookmarkStart w:id="1" w:name="_Toc101706788"/>
    </w:p>
    <w:p>
      <w:pPr>
        <w:spacing w:before="312" w:beforeLines="100" w:after="312" w:afterLines="100"/>
        <w:jc w:val="center"/>
        <w:rPr>
          <w:rFonts w:ascii="黑体" w:hAnsi="黑体" w:eastAsia="黑体"/>
          <w:sz w:val="36"/>
          <w:szCs w:val="36"/>
        </w:rPr>
      </w:pPr>
      <w:bookmarkStart w:id="2" w:name="_Toc30338"/>
      <w:bookmarkStart w:id="3" w:name="_Toc104365446"/>
      <w:r>
        <w:rPr>
          <w:rFonts w:hint="eastAsia" w:ascii="黑体" w:hAnsi="黑体" w:eastAsia="黑体"/>
          <w:sz w:val="36"/>
          <w:szCs w:val="36"/>
        </w:rPr>
        <w:t>第一部分 环境资源刑事案件基本情况</w:t>
      </w:r>
      <w:bookmarkEnd w:id="1"/>
      <w:bookmarkEnd w:id="2"/>
      <w:bookmarkEnd w:id="3"/>
    </w:p>
    <w:p>
      <w:pPr>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2017年9月至2022年3月，徐州铁检院共受理环境资源刑事案件1165件2504人，其中受理审查逮捕案件274件470人，受理审查起诉案件891件2034人。</w:t>
      </w:r>
      <w:r>
        <w:rPr>
          <w:rFonts w:ascii="仿宋_GB2312" w:hAnsi="仿宋_GB2312" w:eastAsia="仿宋_GB2312" w:cs="仿宋_GB2312"/>
          <w:sz w:val="32"/>
          <w:szCs w:val="32"/>
        </w:rPr>
        <w:t>经审查，批准逮捕</w:t>
      </w:r>
      <w:r>
        <w:rPr>
          <w:rFonts w:hint="eastAsia" w:ascii="仿宋_GB2312" w:hAnsi="仿宋_GB2312" w:eastAsia="仿宋_GB2312" w:cs="仿宋_GB2312"/>
          <w:sz w:val="32"/>
          <w:szCs w:val="32"/>
        </w:rPr>
        <w:t>329</w:t>
      </w:r>
      <w:r>
        <w:rPr>
          <w:rFonts w:ascii="仿宋_GB2312" w:hAnsi="仿宋_GB2312" w:eastAsia="仿宋_GB2312" w:cs="仿宋_GB2312"/>
          <w:sz w:val="32"/>
          <w:szCs w:val="32"/>
        </w:rPr>
        <w:t>人，不批准逮捕</w:t>
      </w:r>
      <w:r>
        <w:rPr>
          <w:rFonts w:hint="eastAsia" w:ascii="仿宋_GB2312" w:hAnsi="仿宋_GB2312" w:eastAsia="仿宋_GB2312" w:cs="仿宋_GB2312"/>
          <w:sz w:val="32"/>
          <w:szCs w:val="32"/>
        </w:rPr>
        <w:t>137</w:t>
      </w:r>
      <w:r>
        <w:rPr>
          <w:rFonts w:ascii="仿宋_GB2312" w:hAnsi="仿宋_GB2312" w:eastAsia="仿宋_GB2312" w:cs="仿宋_GB2312"/>
          <w:sz w:val="32"/>
          <w:szCs w:val="32"/>
        </w:rPr>
        <w:t>人；提起公诉</w:t>
      </w:r>
      <w:r>
        <w:rPr>
          <w:rFonts w:hint="eastAsia" w:ascii="仿宋_GB2312" w:hAnsi="仿宋_GB2312" w:eastAsia="仿宋_GB2312" w:cs="仿宋_GB2312"/>
          <w:sz w:val="32"/>
          <w:szCs w:val="32"/>
        </w:rPr>
        <w:t>1372</w:t>
      </w:r>
      <w:r>
        <w:rPr>
          <w:rFonts w:ascii="仿宋_GB2312" w:hAnsi="仿宋_GB2312" w:eastAsia="仿宋_GB2312" w:cs="仿宋_GB2312"/>
          <w:sz w:val="32"/>
          <w:szCs w:val="32"/>
        </w:rPr>
        <w:t>人，不起诉</w:t>
      </w:r>
      <w:r>
        <w:rPr>
          <w:rFonts w:hint="eastAsia" w:ascii="仿宋_GB2312" w:hAnsi="仿宋_GB2312" w:eastAsia="仿宋_GB2312" w:cs="仿宋_GB2312"/>
          <w:sz w:val="32"/>
          <w:szCs w:val="32"/>
        </w:rPr>
        <w:t>313</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w:t>
      </w:r>
    </w:p>
    <w:p>
      <w:pPr>
        <w:ind w:left="840"/>
        <w:outlineLvl w:val="1"/>
        <w:rPr>
          <w:rFonts w:ascii="黑体" w:hAnsi="黑体" w:eastAsia="黑体" w:cs="黑体"/>
          <w:bCs/>
          <w:sz w:val="32"/>
          <w:szCs w:val="40"/>
        </w:rPr>
      </w:pPr>
      <w:bookmarkStart w:id="4" w:name="_Toc31348"/>
      <w:bookmarkStart w:id="5" w:name="_Toc104365447"/>
      <w:bookmarkStart w:id="6" w:name="_Toc101706789"/>
      <w:r>
        <w:rPr>
          <w:rFonts w:hint="eastAsia" w:ascii="黑体" w:hAnsi="黑体" w:eastAsia="黑体" w:cs="黑体"/>
          <w:bCs/>
          <w:sz w:val="32"/>
          <w:szCs w:val="40"/>
        </w:rPr>
        <w:t>一、案件情况</w:t>
      </w:r>
      <w:bookmarkEnd w:id="4"/>
      <w:bookmarkEnd w:id="5"/>
    </w:p>
    <w:p>
      <w:pPr>
        <w:ind w:firstLine="643" w:firstLineChars="200"/>
        <w:outlineLvl w:val="1"/>
        <w:rPr>
          <w:rFonts w:ascii="楷体" w:hAnsi="楷体" w:eastAsia="楷体" w:cs="仿宋"/>
          <w:sz w:val="32"/>
          <w:szCs w:val="40"/>
        </w:rPr>
      </w:pPr>
      <w:bookmarkStart w:id="7" w:name="_Toc31700"/>
      <w:bookmarkStart w:id="8" w:name="_Toc2050"/>
      <w:bookmarkStart w:id="9" w:name="_Toc103522956"/>
      <w:bookmarkStart w:id="10" w:name="_Toc8700"/>
      <w:bookmarkStart w:id="11" w:name="_Toc104365448"/>
      <w:r>
        <w:rPr>
          <w:rFonts w:hint="eastAsia" w:ascii="楷体" w:hAnsi="楷体" w:eastAsia="楷体" w:cs="仿宋"/>
          <w:b/>
          <w:bCs/>
          <w:sz w:val="32"/>
          <w:szCs w:val="40"/>
        </w:rPr>
        <w:t>（一）受理案件数量整体呈现下降</w:t>
      </w:r>
      <w:bookmarkEnd w:id="6"/>
      <w:bookmarkEnd w:id="7"/>
      <w:bookmarkEnd w:id="8"/>
      <w:bookmarkEnd w:id="9"/>
      <w:r>
        <w:rPr>
          <w:rFonts w:hint="eastAsia" w:ascii="楷体" w:hAnsi="楷体" w:eastAsia="楷体" w:cs="仿宋"/>
          <w:b/>
          <w:bCs/>
          <w:sz w:val="32"/>
          <w:szCs w:val="40"/>
        </w:rPr>
        <w:t>趋势</w:t>
      </w:r>
      <w:bookmarkEnd w:id="10"/>
      <w:bookmarkEnd w:id="11"/>
    </w:p>
    <w:p>
      <w:pPr>
        <w:jc w:val="center"/>
        <w:rPr>
          <w:rFonts w:ascii="仿宋" w:hAnsi="仿宋" w:eastAsia="仿宋" w:cs="仿宋"/>
          <w:sz w:val="32"/>
          <w:szCs w:val="40"/>
        </w:rPr>
      </w:pPr>
      <w:r>
        <w:rPr>
          <w:rFonts w:ascii="仿宋" w:hAnsi="仿宋" w:eastAsia="仿宋" w:cs="仿宋"/>
          <w:sz w:val="32"/>
          <w:szCs w:val="40"/>
        </w:rPr>
        <w:object>
          <v:shape id="_x0000_i1025" o:spt="75" alt="7b0a202020202263686172745265734964223a20223230343734343034220a7d0a" type="#_x0000_t75" style="height:178.55pt;width:521.3pt;" o:ole="t" filled="f" o:preferrelative="t" stroked="f" coordsize="21600,21600">
            <v:path/>
            <v:fill on="f" focussize="0,0"/>
            <v:stroke on="f" joinstyle="miter"/>
            <v:imagedata r:id="rId7" cropleft="-7914f" croptop="-4831f" cropright="-15948f" cropbottom="-4663f" o:title="7b0a202020202263686172745265734964223a20223230343734343034220a7d0a"/>
            <o:lock v:ext="edit" aspectratio="f"/>
            <w10:wrap type="none"/>
            <w10:anchorlock/>
          </v:shape>
          <o:OLEObject Type="Embed" ProgID="Excel.Sheet.8" ShapeID="_x0000_i1025" DrawAspect="Content" ObjectID="_1468075725" r:id="rId6">
            <o:LockedField>false</o:LockedField>
          </o:OLEObject>
        </w:object>
      </w:r>
      <w:r>
        <w:rPr>
          <w:rFonts w:hint="eastAsia" w:ascii="仿宋" w:hAnsi="仿宋" w:eastAsia="仿宋" w:cs="仿宋"/>
          <w:sz w:val="28"/>
          <w:szCs w:val="36"/>
        </w:rPr>
        <w:t>表1 环境资源刑事案件受理审查起诉件数年度分布</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年至20</w:t>
      </w:r>
      <w:r>
        <w:rPr>
          <w:rFonts w:hint="eastAsia" w:ascii="仿宋_GB2312" w:hAnsi="仿宋_GB2312" w:eastAsia="仿宋_GB2312" w:cs="仿宋_GB2312"/>
          <w:sz w:val="32"/>
          <w:szCs w:val="32"/>
        </w:rPr>
        <w:t>21</w:t>
      </w:r>
      <w:r>
        <w:rPr>
          <w:rFonts w:ascii="仿宋_GB2312" w:hAnsi="仿宋_GB2312" w:eastAsia="仿宋_GB2312" w:cs="仿宋_GB2312"/>
          <w:sz w:val="32"/>
          <w:szCs w:val="32"/>
        </w:rPr>
        <w:t>年，</w:t>
      </w:r>
      <w:r>
        <w:rPr>
          <w:rFonts w:hint="eastAsia" w:ascii="仿宋_GB2312" w:hAnsi="仿宋_GB2312" w:eastAsia="仿宋_GB2312" w:cs="仿宋_GB2312"/>
          <w:sz w:val="32"/>
          <w:szCs w:val="32"/>
        </w:rPr>
        <w:t>本院</w:t>
      </w:r>
      <w:r>
        <w:rPr>
          <w:rFonts w:ascii="仿宋_GB2312" w:hAnsi="仿宋_GB2312" w:eastAsia="仿宋_GB2312" w:cs="仿宋_GB2312"/>
          <w:sz w:val="32"/>
          <w:szCs w:val="32"/>
        </w:rPr>
        <w:t>受理审查起诉</w:t>
      </w:r>
      <w:r>
        <w:rPr>
          <w:rFonts w:hint="eastAsia" w:ascii="仿宋_GB2312" w:hAnsi="仿宋_GB2312" w:eastAsia="仿宋_GB2312" w:cs="仿宋_GB2312"/>
          <w:sz w:val="32"/>
          <w:szCs w:val="32"/>
        </w:rPr>
        <w:t>件数分别为185件、156件、258件、165件，受理审查起诉人数分别为505人、394人、483人、328人。2021年较2018年，受理审查起诉件数下降了10.8%，人数下降了35%，2020年受理审查起诉件数和人数均有反弹，件数、人数同比分别上升了65.4%、22.6%，与疫情爆发之初严惩危害涉野生动物资源犯罪活动相关，危害珍贵、濒危野生动物案件由2019年的45件增长至2020年的142件，增幅达216%。不过案件数量与人数于2021年又回到整体趋于下降的规律范围内（详见表2）。</w:t>
      </w:r>
    </w:p>
    <w:p>
      <w:pPr>
        <w:ind w:firstLine="640" w:firstLineChars="200"/>
        <w:rPr>
          <w:rFonts w:ascii="仿宋" w:hAnsi="仿宋" w:eastAsia="仿宋" w:cs="仿宋"/>
          <w:sz w:val="32"/>
          <w:szCs w:val="40"/>
        </w:rPr>
      </w:pPr>
      <w:r>
        <w:rPr>
          <w:rFonts w:ascii="仿宋" w:hAnsi="仿宋" w:eastAsia="仿宋" w:cs="仿宋"/>
          <w:sz w:val="32"/>
          <w:szCs w:val="40"/>
        </w:rPr>
        <w:object>
          <v:shape id="_x0000_i1026" o:spt="75" type="#_x0000_t75" style="height:162.25pt;width:377.3pt;" o:ole="t" filled="f" o:preferrelative="t" stroked="f" coordsize="21600,21600">
            <v:path/>
            <v:fill on="f" focussize="0,0"/>
            <v:stroke on="f" joinstyle="miter"/>
            <v:imagedata r:id="rId9" o:title=""/>
            <o:lock v:ext="edit" aspectratio="f"/>
            <w10:wrap type="none"/>
            <w10:anchorlock/>
          </v:shape>
          <o:OLEObject Type="Embed" ProgID="Excel.Sheet.8" ShapeID="_x0000_i1026" DrawAspect="Content" ObjectID="_1468075726" r:id="rId8">
            <o:LockedField>false</o:LockedField>
          </o:OLEObject>
        </w:object>
      </w:r>
    </w:p>
    <w:p>
      <w:pPr>
        <w:jc w:val="center"/>
        <w:rPr>
          <w:rFonts w:ascii="仿宋" w:hAnsi="仿宋" w:eastAsia="仿宋" w:cs="仿宋"/>
          <w:sz w:val="28"/>
          <w:szCs w:val="36"/>
        </w:rPr>
      </w:pPr>
      <w:r>
        <w:rPr>
          <w:rFonts w:hint="eastAsia" w:ascii="仿宋" w:hAnsi="仿宋" w:eastAsia="仿宋" w:cs="仿宋"/>
          <w:sz w:val="28"/>
          <w:szCs w:val="36"/>
        </w:rPr>
        <w:t>表2 危害珍贵、濒危野生动物罪审查起诉件数年度分布</w:t>
      </w:r>
    </w:p>
    <w:p>
      <w:pPr>
        <w:ind w:firstLine="643" w:firstLineChars="200"/>
        <w:outlineLvl w:val="1"/>
        <w:rPr>
          <w:rFonts w:ascii="楷体" w:hAnsi="楷体" w:eastAsia="楷体" w:cs="仿宋"/>
          <w:b/>
          <w:bCs/>
          <w:sz w:val="32"/>
          <w:szCs w:val="40"/>
        </w:rPr>
      </w:pPr>
      <w:bookmarkStart w:id="12" w:name="_Toc19068"/>
      <w:bookmarkStart w:id="13" w:name="_Toc19076"/>
      <w:bookmarkStart w:id="14" w:name="_Toc14929"/>
      <w:bookmarkStart w:id="15" w:name="_Toc101706790"/>
      <w:bookmarkStart w:id="16" w:name="_Toc104365449"/>
      <w:bookmarkStart w:id="17" w:name="_Toc103522957"/>
      <w:r>
        <w:rPr>
          <w:rFonts w:hint="eastAsia" w:ascii="楷体" w:hAnsi="楷体" w:eastAsia="楷体" w:cs="仿宋"/>
          <w:b/>
          <w:bCs/>
          <w:sz w:val="32"/>
          <w:szCs w:val="40"/>
        </w:rPr>
        <w:t>（二）涉案罪名相对集中</w:t>
      </w:r>
      <w:bookmarkEnd w:id="12"/>
      <w:bookmarkEnd w:id="13"/>
      <w:bookmarkEnd w:id="14"/>
      <w:bookmarkEnd w:id="15"/>
      <w:bookmarkEnd w:id="16"/>
      <w:bookmarkEnd w:id="17"/>
    </w:p>
    <w:p>
      <w:pPr>
        <w:ind w:firstLine="640" w:firstLineChars="200"/>
        <w:rPr>
          <w:rFonts w:ascii="仿宋" w:hAnsi="仿宋" w:eastAsia="仿宋" w:cs="仿宋"/>
          <w:sz w:val="32"/>
          <w:szCs w:val="40"/>
        </w:rPr>
      </w:pPr>
      <w:r>
        <w:rPr>
          <w:rFonts w:hint="eastAsia" w:ascii="仿宋_GB2312" w:hAnsi="仿宋_GB2312" w:eastAsia="仿宋_GB2312" w:cs="仿宋_GB2312"/>
          <w:sz w:val="32"/>
          <w:szCs w:val="32"/>
        </w:rPr>
        <w:t>七类犯罪占比超九成。1165起案件中数量居</w:t>
      </w:r>
      <w:r>
        <w:rPr>
          <w:rFonts w:hint="eastAsia" w:ascii="仿宋" w:hAnsi="仿宋" w:eastAsia="仿宋" w:cs="仿宋"/>
          <w:sz w:val="32"/>
          <w:szCs w:val="40"/>
        </w:rPr>
        <w:t>前七位的罪名分别是危害珍贵、濒危野生动物罪、污染环境罪、非法采矿罪、非法狩猎罪、滥伐林木罪、非法占用农用地罪、非法捕捞水产品罪，七类犯罪案件数量占同期受理案件总数的95.62%，涉案嫌疑人数量占同期受理案件全部犯罪人数的96.49%（详见表3）。</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4"/>
        <w:gridCol w:w="1440"/>
        <w:gridCol w:w="1185"/>
        <w:gridCol w:w="1725"/>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shd w:val="clear" w:color="auto" w:fill="E7E6E6"/>
          </w:tcPr>
          <w:p>
            <w:pPr>
              <w:jc w:val="center"/>
              <w:rPr>
                <w:rFonts w:ascii="黑体" w:hAnsi="黑体" w:eastAsia="黑体" w:cs="仿宋"/>
                <w:sz w:val="24"/>
                <w:szCs w:val="32"/>
              </w:rPr>
            </w:pPr>
            <w:r>
              <w:rPr>
                <w:rFonts w:hint="eastAsia" w:ascii="黑体" w:hAnsi="黑体" w:eastAsia="黑体" w:cs="仿宋"/>
                <w:sz w:val="24"/>
                <w:szCs w:val="32"/>
              </w:rPr>
              <w:t>罪名</w:t>
            </w:r>
          </w:p>
        </w:tc>
        <w:tc>
          <w:tcPr>
            <w:tcW w:w="1440" w:type="dxa"/>
            <w:shd w:val="clear" w:color="auto" w:fill="E7E6E6"/>
          </w:tcPr>
          <w:p>
            <w:pPr>
              <w:jc w:val="center"/>
              <w:rPr>
                <w:rFonts w:ascii="黑体" w:hAnsi="黑体" w:eastAsia="黑体" w:cs="仿宋"/>
                <w:sz w:val="24"/>
                <w:szCs w:val="32"/>
              </w:rPr>
            </w:pPr>
            <w:r>
              <w:rPr>
                <w:rFonts w:hint="eastAsia" w:ascii="黑体" w:hAnsi="黑体" w:eastAsia="黑体" w:cs="仿宋"/>
                <w:sz w:val="24"/>
                <w:szCs w:val="32"/>
              </w:rPr>
              <w:t>案件数（件）</w:t>
            </w:r>
          </w:p>
        </w:tc>
        <w:tc>
          <w:tcPr>
            <w:tcW w:w="1185" w:type="dxa"/>
            <w:shd w:val="clear" w:color="auto" w:fill="E7E6E6"/>
          </w:tcPr>
          <w:p>
            <w:pPr>
              <w:jc w:val="center"/>
              <w:rPr>
                <w:rFonts w:ascii="黑体" w:hAnsi="黑体" w:eastAsia="黑体" w:cs="仿宋"/>
                <w:sz w:val="24"/>
                <w:szCs w:val="32"/>
              </w:rPr>
            </w:pPr>
            <w:r>
              <w:rPr>
                <w:rFonts w:hint="eastAsia" w:ascii="黑体" w:hAnsi="黑体" w:eastAsia="黑体" w:cs="仿宋"/>
                <w:sz w:val="24"/>
                <w:szCs w:val="32"/>
              </w:rPr>
              <w:t>占比</w:t>
            </w:r>
          </w:p>
        </w:tc>
        <w:tc>
          <w:tcPr>
            <w:tcW w:w="1725" w:type="dxa"/>
            <w:shd w:val="clear" w:color="auto" w:fill="E7E6E6"/>
          </w:tcPr>
          <w:p>
            <w:pPr>
              <w:jc w:val="center"/>
              <w:rPr>
                <w:rFonts w:ascii="黑体" w:hAnsi="黑体" w:eastAsia="黑体" w:cs="仿宋"/>
                <w:sz w:val="24"/>
                <w:szCs w:val="32"/>
              </w:rPr>
            </w:pPr>
            <w:r>
              <w:rPr>
                <w:rFonts w:hint="eastAsia" w:ascii="黑体" w:hAnsi="黑体" w:eastAsia="黑体" w:cs="仿宋"/>
                <w:sz w:val="24"/>
                <w:szCs w:val="32"/>
              </w:rPr>
              <w:t>涉案人数（人)</w:t>
            </w:r>
          </w:p>
        </w:tc>
        <w:tc>
          <w:tcPr>
            <w:tcW w:w="1174" w:type="dxa"/>
            <w:shd w:val="clear" w:color="auto" w:fill="E7E6E6"/>
          </w:tcPr>
          <w:p>
            <w:pPr>
              <w:jc w:val="center"/>
              <w:rPr>
                <w:rFonts w:ascii="黑体" w:hAnsi="黑体" w:eastAsia="黑体" w:cs="仿宋"/>
                <w:sz w:val="24"/>
                <w:szCs w:val="32"/>
              </w:rPr>
            </w:pPr>
            <w:r>
              <w:rPr>
                <w:rFonts w:hint="eastAsia" w:ascii="黑体" w:hAnsi="黑体" w:eastAsia="黑体" w:cs="仿宋"/>
                <w:sz w:val="24"/>
                <w:szCs w:val="32"/>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tcPr>
          <w:p>
            <w:pPr>
              <w:jc w:val="center"/>
              <w:rPr>
                <w:rFonts w:ascii="楷体" w:hAnsi="楷体" w:eastAsia="楷体" w:cs="仿宋"/>
                <w:sz w:val="24"/>
                <w:szCs w:val="32"/>
              </w:rPr>
            </w:pPr>
            <w:r>
              <w:rPr>
                <w:rFonts w:hint="eastAsia" w:ascii="楷体" w:hAnsi="楷体" w:eastAsia="楷体" w:cs="仿宋"/>
                <w:sz w:val="24"/>
                <w:szCs w:val="32"/>
              </w:rPr>
              <w:t>危害珍贵、濒危野生动物罪</w:t>
            </w:r>
          </w:p>
        </w:tc>
        <w:tc>
          <w:tcPr>
            <w:tcW w:w="1440" w:type="dxa"/>
            <w:vAlign w:val="center"/>
          </w:tcPr>
          <w:p>
            <w:pPr>
              <w:jc w:val="center"/>
              <w:rPr>
                <w:rFonts w:ascii="楷体" w:hAnsi="楷体" w:eastAsia="楷体" w:cs="仿宋"/>
                <w:sz w:val="24"/>
                <w:szCs w:val="32"/>
              </w:rPr>
            </w:pPr>
            <w:r>
              <w:rPr>
                <w:rFonts w:hint="eastAsia" w:ascii="楷体" w:hAnsi="楷体" w:eastAsia="楷体" w:cs="仿宋"/>
                <w:sz w:val="24"/>
                <w:szCs w:val="32"/>
              </w:rPr>
              <w:t>365</w:t>
            </w:r>
          </w:p>
        </w:tc>
        <w:tc>
          <w:tcPr>
            <w:tcW w:w="1185" w:type="dxa"/>
          </w:tcPr>
          <w:p>
            <w:pPr>
              <w:jc w:val="center"/>
              <w:rPr>
                <w:rFonts w:ascii="楷体" w:hAnsi="楷体" w:eastAsia="楷体" w:cs="仿宋"/>
                <w:sz w:val="24"/>
                <w:szCs w:val="32"/>
              </w:rPr>
            </w:pPr>
            <w:r>
              <w:rPr>
                <w:rFonts w:hint="eastAsia" w:ascii="楷体" w:hAnsi="楷体" w:eastAsia="楷体" w:cs="仿宋"/>
                <w:sz w:val="24"/>
                <w:szCs w:val="32"/>
              </w:rPr>
              <w:t>31.33%</w:t>
            </w:r>
          </w:p>
        </w:tc>
        <w:tc>
          <w:tcPr>
            <w:tcW w:w="1725" w:type="dxa"/>
          </w:tcPr>
          <w:p>
            <w:pPr>
              <w:jc w:val="center"/>
              <w:rPr>
                <w:rFonts w:ascii="楷体" w:hAnsi="楷体" w:eastAsia="楷体" w:cs="仿宋"/>
                <w:sz w:val="24"/>
                <w:szCs w:val="32"/>
              </w:rPr>
            </w:pPr>
            <w:r>
              <w:rPr>
                <w:rFonts w:hint="eastAsia" w:ascii="楷体" w:hAnsi="楷体" w:eastAsia="楷体" w:cs="仿宋"/>
                <w:sz w:val="24"/>
                <w:szCs w:val="32"/>
              </w:rPr>
              <w:t>635</w:t>
            </w:r>
          </w:p>
        </w:tc>
        <w:tc>
          <w:tcPr>
            <w:tcW w:w="1174" w:type="dxa"/>
          </w:tcPr>
          <w:p>
            <w:pPr>
              <w:jc w:val="center"/>
              <w:rPr>
                <w:rFonts w:ascii="楷体" w:hAnsi="楷体" w:eastAsia="楷体" w:cs="仿宋"/>
                <w:sz w:val="24"/>
                <w:szCs w:val="32"/>
              </w:rPr>
            </w:pPr>
            <w:r>
              <w:rPr>
                <w:rFonts w:hint="eastAsia" w:ascii="楷体" w:hAnsi="楷体" w:eastAsia="楷体" w:cs="仿宋"/>
                <w:sz w:val="24"/>
                <w:szCs w:val="32"/>
              </w:rPr>
              <w:t>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tcPr>
          <w:p>
            <w:pPr>
              <w:jc w:val="center"/>
              <w:rPr>
                <w:rFonts w:ascii="楷体" w:hAnsi="楷体" w:eastAsia="楷体" w:cs="仿宋"/>
                <w:sz w:val="24"/>
                <w:szCs w:val="32"/>
              </w:rPr>
            </w:pPr>
            <w:r>
              <w:rPr>
                <w:rFonts w:hint="eastAsia" w:ascii="楷体" w:hAnsi="楷体" w:eastAsia="楷体" w:cs="仿宋"/>
                <w:sz w:val="24"/>
                <w:szCs w:val="32"/>
              </w:rPr>
              <w:t>污染环境罪</w:t>
            </w:r>
          </w:p>
        </w:tc>
        <w:tc>
          <w:tcPr>
            <w:tcW w:w="1440" w:type="dxa"/>
            <w:vAlign w:val="center"/>
          </w:tcPr>
          <w:p>
            <w:pPr>
              <w:jc w:val="center"/>
              <w:rPr>
                <w:rFonts w:ascii="楷体" w:hAnsi="楷体" w:eastAsia="楷体" w:cs="仿宋"/>
                <w:sz w:val="24"/>
                <w:szCs w:val="32"/>
              </w:rPr>
            </w:pPr>
            <w:r>
              <w:rPr>
                <w:rFonts w:hint="eastAsia" w:ascii="楷体" w:hAnsi="楷体" w:eastAsia="楷体" w:cs="仿宋"/>
                <w:sz w:val="24"/>
                <w:szCs w:val="32"/>
              </w:rPr>
              <w:t>302</w:t>
            </w:r>
          </w:p>
        </w:tc>
        <w:tc>
          <w:tcPr>
            <w:tcW w:w="1185" w:type="dxa"/>
          </w:tcPr>
          <w:p>
            <w:pPr>
              <w:jc w:val="center"/>
              <w:rPr>
                <w:rFonts w:ascii="楷体" w:hAnsi="楷体" w:eastAsia="楷体" w:cs="仿宋"/>
                <w:sz w:val="24"/>
                <w:szCs w:val="32"/>
              </w:rPr>
            </w:pPr>
            <w:r>
              <w:rPr>
                <w:rFonts w:hint="eastAsia" w:ascii="楷体" w:hAnsi="楷体" w:eastAsia="楷体" w:cs="仿宋"/>
                <w:sz w:val="24"/>
                <w:szCs w:val="32"/>
              </w:rPr>
              <w:t>25.92%</w:t>
            </w:r>
          </w:p>
        </w:tc>
        <w:tc>
          <w:tcPr>
            <w:tcW w:w="1725" w:type="dxa"/>
          </w:tcPr>
          <w:p>
            <w:pPr>
              <w:jc w:val="center"/>
              <w:rPr>
                <w:rFonts w:ascii="楷体" w:hAnsi="楷体" w:eastAsia="楷体" w:cs="仿宋"/>
                <w:sz w:val="24"/>
                <w:szCs w:val="32"/>
              </w:rPr>
            </w:pPr>
            <w:r>
              <w:rPr>
                <w:rFonts w:hint="eastAsia" w:ascii="楷体" w:hAnsi="楷体" w:eastAsia="楷体" w:cs="仿宋"/>
                <w:sz w:val="24"/>
                <w:szCs w:val="32"/>
              </w:rPr>
              <w:t>776</w:t>
            </w:r>
          </w:p>
        </w:tc>
        <w:tc>
          <w:tcPr>
            <w:tcW w:w="1174" w:type="dxa"/>
          </w:tcPr>
          <w:p>
            <w:pPr>
              <w:jc w:val="center"/>
              <w:rPr>
                <w:rFonts w:ascii="楷体" w:hAnsi="楷体" w:eastAsia="楷体" w:cs="仿宋"/>
                <w:sz w:val="24"/>
                <w:szCs w:val="32"/>
              </w:rPr>
            </w:pPr>
            <w:r>
              <w:rPr>
                <w:rFonts w:hint="eastAsia" w:ascii="楷体" w:hAnsi="楷体" w:eastAsia="楷体" w:cs="仿宋"/>
                <w:sz w:val="24"/>
                <w:szCs w:val="32"/>
              </w:rPr>
              <w:t>30.99%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tcPr>
          <w:p>
            <w:pPr>
              <w:jc w:val="center"/>
              <w:rPr>
                <w:rFonts w:ascii="楷体" w:hAnsi="楷体" w:eastAsia="楷体" w:cs="仿宋"/>
                <w:sz w:val="24"/>
                <w:szCs w:val="32"/>
              </w:rPr>
            </w:pPr>
            <w:r>
              <w:rPr>
                <w:rFonts w:hint="eastAsia" w:ascii="楷体" w:hAnsi="楷体" w:eastAsia="楷体" w:cs="仿宋"/>
                <w:sz w:val="24"/>
                <w:szCs w:val="32"/>
              </w:rPr>
              <w:t>非法采矿罪</w:t>
            </w:r>
          </w:p>
        </w:tc>
        <w:tc>
          <w:tcPr>
            <w:tcW w:w="1440" w:type="dxa"/>
            <w:vAlign w:val="center"/>
          </w:tcPr>
          <w:p>
            <w:pPr>
              <w:jc w:val="center"/>
              <w:rPr>
                <w:rFonts w:ascii="楷体" w:hAnsi="楷体" w:eastAsia="楷体" w:cs="仿宋"/>
                <w:sz w:val="24"/>
                <w:szCs w:val="32"/>
              </w:rPr>
            </w:pPr>
            <w:r>
              <w:rPr>
                <w:rFonts w:hint="eastAsia" w:ascii="楷体" w:hAnsi="楷体" w:eastAsia="楷体" w:cs="仿宋"/>
                <w:sz w:val="24"/>
                <w:szCs w:val="32"/>
              </w:rPr>
              <w:t>189</w:t>
            </w:r>
          </w:p>
        </w:tc>
        <w:tc>
          <w:tcPr>
            <w:tcW w:w="1185" w:type="dxa"/>
          </w:tcPr>
          <w:p>
            <w:pPr>
              <w:jc w:val="center"/>
              <w:rPr>
                <w:rFonts w:ascii="楷体" w:hAnsi="楷体" w:eastAsia="楷体" w:cs="仿宋"/>
                <w:sz w:val="24"/>
                <w:szCs w:val="32"/>
              </w:rPr>
            </w:pPr>
            <w:r>
              <w:rPr>
                <w:rFonts w:hint="eastAsia" w:ascii="楷体" w:hAnsi="楷体" w:eastAsia="楷体" w:cs="仿宋"/>
                <w:sz w:val="24"/>
                <w:szCs w:val="32"/>
              </w:rPr>
              <w:t>16.22%</w:t>
            </w:r>
          </w:p>
        </w:tc>
        <w:tc>
          <w:tcPr>
            <w:tcW w:w="1725" w:type="dxa"/>
          </w:tcPr>
          <w:p>
            <w:pPr>
              <w:jc w:val="center"/>
              <w:rPr>
                <w:rFonts w:ascii="楷体" w:hAnsi="楷体" w:eastAsia="楷体" w:cs="仿宋"/>
                <w:sz w:val="24"/>
                <w:szCs w:val="32"/>
              </w:rPr>
            </w:pPr>
            <w:r>
              <w:rPr>
                <w:rFonts w:hint="eastAsia" w:ascii="楷体" w:hAnsi="楷体" w:eastAsia="楷体" w:cs="仿宋"/>
                <w:sz w:val="24"/>
                <w:szCs w:val="32"/>
              </w:rPr>
              <w:t>513</w:t>
            </w:r>
          </w:p>
        </w:tc>
        <w:tc>
          <w:tcPr>
            <w:tcW w:w="1174" w:type="dxa"/>
          </w:tcPr>
          <w:p>
            <w:pPr>
              <w:jc w:val="center"/>
              <w:rPr>
                <w:rFonts w:ascii="楷体" w:hAnsi="楷体" w:eastAsia="楷体" w:cs="仿宋"/>
                <w:sz w:val="24"/>
                <w:szCs w:val="32"/>
              </w:rPr>
            </w:pPr>
            <w:r>
              <w:rPr>
                <w:rFonts w:hint="eastAsia" w:ascii="楷体" w:hAnsi="楷体" w:eastAsia="楷体" w:cs="仿宋"/>
                <w:sz w:val="24"/>
                <w:szCs w:val="32"/>
              </w:rPr>
              <w:t>20.48%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tcPr>
          <w:p>
            <w:pPr>
              <w:jc w:val="center"/>
              <w:rPr>
                <w:rFonts w:ascii="楷体" w:hAnsi="楷体" w:eastAsia="楷体" w:cs="仿宋"/>
                <w:sz w:val="24"/>
                <w:szCs w:val="32"/>
              </w:rPr>
            </w:pPr>
            <w:r>
              <w:rPr>
                <w:rFonts w:hint="eastAsia" w:ascii="楷体" w:hAnsi="楷体" w:eastAsia="楷体" w:cs="仿宋"/>
                <w:sz w:val="24"/>
                <w:szCs w:val="32"/>
              </w:rPr>
              <w:t>非法狩猎罪</w:t>
            </w:r>
          </w:p>
        </w:tc>
        <w:tc>
          <w:tcPr>
            <w:tcW w:w="1440" w:type="dxa"/>
            <w:vAlign w:val="center"/>
          </w:tcPr>
          <w:p>
            <w:pPr>
              <w:jc w:val="center"/>
              <w:rPr>
                <w:rFonts w:ascii="楷体" w:hAnsi="楷体" w:eastAsia="楷体" w:cs="仿宋"/>
                <w:sz w:val="24"/>
                <w:szCs w:val="32"/>
              </w:rPr>
            </w:pPr>
            <w:r>
              <w:rPr>
                <w:rFonts w:hint="eastAsia" w:ascii="楷体" w:hAnsi="楷体" w:eastAsia="楷体" w:cs="仿宋"/>
                <w:sz w:val="24"/>
                <w:szCs w:val="32"/>
              </w:rPr>
              <w:t>100</w:t>
            </w:r>
          </w:p>
        </w:tc>
        <w:tc>
          <w:tcPr>
            <w:tcW w:w="1185" w:type="dxa"/>
          </w:tcPr>
          <w:p>
            <w:pPr>
              <w:jc w:val="center"/>
              <w:rPr>
                <w:rFonts w:ascii="楷体" w:hAnsi="楷体" w:eastAsia="楷体" w:cs="仿宋"/>
                <w:sz w:val="24"/>
                <w:szCs w:val="32"/>
              </w:rPr>
            </w:pPr>
            <w:r>
              <w:rPr>
                <w:rFonts w:hint="eastAsia" w:ascii="楷体" w:hAnsi="楷体" w:eastAsia="楷体" w:cs="仿宋"/>
                <w:sz w:val="24"/>
                <w:szCs w:val="32"/>
              </w:rPr>
              <w:t>8.58%</w:t>
            </w:r>
          </w:p>
        </w:tc>
        <w:tc>
          <w:tcPr>
            <w:tcW w:w="1725" w:type="dxa"/>
          </w:tcPr>
          <w:p>
            <w:pPr>
              <w:jc w:val="center"/>
              <w:rPr>
                <w:rFonts w:ascii="楷体" w:hAnsi="楷体" w:eastAsia="楷体" w:cs="仿宋"/>
                <w:sz w:val="24"/>
                <w:szCs w:val="32"/>
              </w:rPr>
            </w:pPr>
            <w:r>
              <w:rPr>
                <w:rFonts w:hint="eastAsia" w:ascii="楷体" w:hAnsi="楷体" w:eastAsia="楷体" w:cs="仿宋"/>
                <w:sz w:val="24"/>
                <w:szCs w:val="32"/>
              </w:rPr>
              <w:t>174</w:t>
            </w:r>
          </w:p>
        </w:tc>
        <w:tc>
          <w:tcPr>
            <w:tcW w:w="1174" w:type="dxa"/>
          </w:tcPr>
          <w:p>
            <w:pPr>
              <w:jc w:val="center"/>
              <w:rPr>
                <w:rFonts w:ascii="楷体" w:hAnsi="楷体" w:eastAsia="楷体" w:cs="仿宋"/>
                <w:sz w:val="24"/>
                <w:szCs w:val="32"/>
              </w:rPr>
            </w:pPr>
            <w:r>
              <w:rPr>
                <w:rFonts w:hint="eastAsia" w:ascii="楷体" w:hAnsi="楷体" w:eastAsia="楷体" w:cs="仿宋"/>
                <w:sz w:val="24"/>
                <w:szCs w:val="32"/>
              </w:rPr>
              <w:t>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tcPr>
          <w:p>
            <w:pPr>
              <w:jc w:val="center"/>
              <w:rPr>
                <w:rFonts w:ascii="楷体" w:hAnsi="楷体" w:eastAsia="楷体" w:cs="仿宋"/>
                <w:sz w:val="24"/>
                <w:szCs w:val="32"/>
              </w:rPr>
            </w:pPr>
            <w:r>
              <w:rPr>
                <w:rFonts w:hint="eastAsia" w:ascii="楷体" w:hAnsi="楷体" w:eastAsia="楷体" w:cs="仿宋"/>
                <w:sz w:val="24"/>
                <w:szCs w:val="32"/>
              </w:rPr>
              <w:t>滥伐林木罪</w:t>
            </w:r>
          </w:p>
        </w:tc>
        <w:tc>
          <w:tcPr>
            <w:tcW w:w="1440" w:type="dxa"/>
            <w:vAlign w:val="center"/>
          </w:tcPr>
          <w:p>
            <w:pPr>
              <w:jc w:val="center"/>
              <w:rPr>
                <w:rFonts w:ascii="楷体" w:hAnsi="楷体" w:eastAsia="楷体" w:cs="仿宋"/>
                <w:sz w:val="24"/>
                <w:szCs w:val="32"/>
              </w:rPr>
            </w:pPr>
            <w:r>
              <w:rPr>
                <w:rFonts w:hint="eastAsia" w:ascii="楷体" w:hAnsi="楷体" w:eastAsia="楷体" w:cs="仿宋"/>
                <w:sz w:val="24"/>
                <w:szCs w:val="32"/>
              </w:rPr>
              <w:t>100</w:t>
            </w:r>
          </w:p>
        </w:tc>
        <w:tc>
          <w:tcPr>
            <w:tcW w:w="1185" w:type="dxa"/>
          </w:tcPr>
          <w:p>
            <w:pPr>
              <w:jc w:val="center"/>
              <w:rPr>
                <w:rFonts w:ascii="楷体" w:hAnsi="楷体" w:eastAsia="楷体" w:cs="仿宋"/>
                <w:sz w:val="24"/>
                <w:szCs w:val="32"/>
              </w:rPr>
            </w:pPr>
            <w:r>
              <w:rPr>
                <w:rFonts w:hint="eastAsia" w:ascii="楷体" w:hAnsi="楷体" w:eastAsia="楷体" w:cs="仿宋"/>
                <w:sz w:val="24"/>
                <w:szCs w:val="32"/>
              </w:rPr>
              <w:t>8.58%</w:t>
            </w:r>
          </w:p>
        </w:tc>
        <w:tc>
          <w:tcPr>
            <w:tcW w:w="1725" w:type="dxa"/>
          </w:tcPr>
          <w:p>
            <w:pPr>
              <w:jc w:val="center"/>
              <w:rPr>
                <w:rFonts w:ascii="楷体" w:hAnsi="楷体" w:eastAsia="楷体" w:cs="仿宋"/>
                <w:sz w:val="24"/>
                <w:szCs w:val="32"/>
              </w:rPr>
            </w:pPr>
            <w:r>
              <w:rPr>
                <w:rFonts w:hint="eastAsia" w:ascii="楷体" w:hAnsi="楷体" w:eastAsia="楷体" w:cs="仿宋"/>
                <w:sz w:val="24"/>
                <w:szCs w:val="32"/>
              </w:rPr>
              <w:t>221</w:t>
            </w:r>
          </w:p>
        </w:tc>
        <w:tc>
          <w:tcPr>
            <w:tcW w:w="1174" w:type="dxa"/>
          </w:tcPr>
          <w:p>
            <w:pPr>
              <w:jc w:val="center"/>
              <w:rPr>
                <w:rFonts w:ascii="楷体" w:hAnsi="楷体" w:eastAsia="楷体" w:cs="仿宋"/>
                <w:sz w:val="24"/>
                <w:szCs w:val="32"/>
              </w:rPr>
            </w:pPr>
            <w:r>
              <w:rPr>
                <w:rFonts w:hint="eastAsia" w:ascii="楷体" w:hAnsi="楷体" w:eastAsia="楷体" w:cs="仿宋"/>
                <w:sz w:val="24"/>
                <w:szCs w:val="32"/>
              </w:rPr>
              <w:t>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tcPr>
          <w:p>
            <w:pPr>
              <w:jc w:val="center"/>
              <w:rPr>
                <w:rFonts w:ascii="楷体" w:hAnsi="楷体" w:eastAsia="楷体" w:cs="仿宋"/>
                <w:sz w:val="24"/>
                <w:szCs w:val="32"/>
              </w:rPr>
            </w:pPr>
            <w:r>
              <w:rPr>
                <w:rFonts w:hint="eastAsia" w:ascii="楷体" w:hAnsi="楷体" w:eastAsia="楷体" w:cs="仿宋"/>
                <w:sz w:val="24"/>
                <w:szCs w:val="32"/>
              </w:rPr>
              <w:t>非法占用农用地罪</w:t>
            </w:r>
          </w:p>
        </w:tc>
        <w:tc>
          <w:tcPr>
            <w:tcW w:w="1440" w:type="dxa"/>
            <w:vAlign w:val="center"/>
          </w:tcPr>
          <w:p>
            <w:pPr>
              <w:jc w:val="center"/>
              <w:rPr>
                <w:rFonts w:ascii="楷体" w:hAnsi="楷体" w:eastAsia="楷体" w:cs="仿宋"/>
                <w:sz w:val="24"/>
                <w:szCs w:val="32"/>
              </w:rPr>
            </w:pPr>
            <w:r>
              <w:rPr>
                <w:rFonts w:hint="eastAsia" w:ascii="楷体" w:hAnsi="楷体" w:eastAsia="楷体" w:cs="仿宋"/>
                <w:sz w:val="24"/>
                <w:szCs w:val="32"/>
              </w:rPr>
              <w:t>31</w:t>
            </w:r>
          </w:p>
        </w:tc>
        <w:tc>
          <w:tcPr>
            <w:tcW w:w="1185" w:type="dxa"/>
          </w:tcPr>
          <w:p>
            <w:pPr>
              <w:jc w:val="center"/>
              <w:rPr>
                <w:rFonts w:ascii="楷体" w:hAnsi="楷体" w:eastAsia="楷体" w:cs="仿宋"/>
                <w:sz w:val="24"/>
                <w:szCs w:val="32"/>
              </w:rPr>
            </w:pPr>
            <w:r>
              <w:rPr>
                <w:rFonts w:hint="eastAsia" w:ascii="楷体" w:hAnsi="楷体" w:eastAsia="楷体" w:cs="仿宋"/>
                <w:sz w:val="24"/>
                <w:szCs w:val="32"/>
              </w:rPr>
              <w:t>2.66%</w:t>
            </w:r>
          </w:p>
        </w:tc>
        <w:tc>
          <w:tcPr>
            <w:tcW w:w="1725" w:type="dxa"/>
          </w:tcPr>
          <w:p>
            <w:pPr>
              <w:jc w:val="center"/>
              <w:rPr>
                <w:rFonts w:ascii="楷体" w:hAnsi="楷体" w:eastAsia="楷体" w:cs="仿宋"/>
                <w:sz w:val="24"/>
                <w:szCs w:val="32"/>
              </w:rPr>
            </w:pPr>
            <w:r>
              <w:rPr>
                <w:rFonts w:hint="eastAsia" w:ascii="楷体" w:hAnsi="楷体" w:eastAsia="楷体" w:cs="仿宋"/>
                <w:sz w:val="24"/>
                <w:szCs w:val="32"/>
              </w:rPr>
              <w:t>46</w:t>
            </w:r>
          </w:p>
        </w:tc>
        <w:tc>
          <w:tcPr>
            <w:tcW w:w="1174" w:type="dxa"/>
          </w:tcPr>
          <w:p>
            <w:pPr>
              <w:jc w:val="center"/>
              <w:rPr>
                <w:rFonts w:ascii="楷体" w:hAnsi="楷体" w:eastAsia="楷体" w:cs="仿宋"/>
                <w:sz w:val="24"/>
                <w:szCs w:val="32"/>
              </w:rPr>
            </w:pPr>
            <w:r>
              <w:rPr>
                <w:rFonts w:hint="eastAsia" w:ascii="楷体" w:hAnsi="楷体" w:eastAsia="楷体" w:cs="仿宋"/>
                <w:sz w:val="24"/>
                <w:szCs w:val="32"/>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tcPr>
          <w:p>
            <w:pPr>
              <w:jc w:val="center"/>
              <w:rPr>
                <w:rFonts w:ascii="楷体" w:hAnsi="楷体" w:eastAsia="楷体" w:cs="仿宋"/>
                <w:sz w:val="24"/>
                <w:szCs w:val="32"/>
              </w:rPr>
            </w:pPr>
            <w:r>
              <w:rPr>
                <w:rFonts w:hint="eastAsia" w:ascii="楷体" w:hAnsi="楷体" w:eastAsia="楷体" w:cs="仿宋"/>
                <w:sz w:val="24"/>
                <w:szCs w:val="32"/>
              </w:rPr>
              <w:t>非法捕捞水产品罪</w:t>
            </w:r>
          </w:p>
        </w:tc>
        <w:tc>
          <w:tcPr>
            <w:tcW w:w="1440" w:type="dxa"/>
            <w:vAlign w:val="center"/>
          </w:tcPr>
          <w:p>
            <w:pPr>
              <w:jc w:val="center"/>
              <w:rPr>
                <w:rFonts w:ascii="楷体" w:hAnsi="楷体" w:eastAsia="楷体" w:cs="仿宋"/>
                <w:sz w:val="24"/>
                <w:szCs w:val="32"/>
              </w:rPr>
            </w:pPr>
            <w:r>
              <w:rPr>
                <w:rFonts w:hint="eastAsia" w:ascii="楷体" w:hAnsi="楷体" w:eastAsia="楷体" w:cs="仿宋"/>
                <w:sz w:val="24"/>
                <w:szCs w:val="32"/>
              </w:rPr>
              <w:t>27</w:t>
            </w:r>
          </w:p>
        </w:tc>
        <w:tc>
          <w:tcPr>
            <w:tcW w:w="1185" w:type="dxa"/>
          </w:tcPr>
          <w:p>
            <w:pPr>
              <w:jc w:val="center"/>
              <w:rPr>
                <w:rFonts w:ascii="楷体" w:hAnsi="楷体" w:eastAsia="楷体" w:cs="仿宋"/>
                <w:sz w:val="24"/>
                <w:szCs w:val="32"/>
              </w:rPr>
            </w:pPr>
            <w:r>
              <w:rPr>
                <w:rFonts w:hint="eastAsia" w:ascii="楷体" w:hAnsi="楷体" w:eastAsia="楷体" w:cs="仿宋"/>
                <w:sz w:val="24"/>
                <w:szCs w:val="32"/>
              </w:rPr>
              <w:t>2.32%</w:t>
            </w:r>
          </w:p>
        </w:tc>
        <w:tc>
          <w:tcPr>
            <w:tcW w:w="1725" w:type="dxa"/>
          </w:tcPr>
          <w:p>
            <w:pPr>
              <w:jc w:val="center"/>
              <w:rPr>
                <w:rFonts w:ascii="楷体" w:hAnsi="楷体" w:eastAsia="楷体" w:cs="仿宋"/>
                <w:sz w:val="24"/>
                <w:szCs w:val="32"/>
              </w:rPr>
            </w:pPr>
            <w:r>
              <w:rPr>
                <w:rFonts w:hint="eastAsia" w:ascii="楷体" w:hAnsi="楷体" w:eastAsia="楷体" w:cs="仿宋"/>
                <w:sz w:val="24"/>
                <w:szCs w:val="32"/>
              </w:rPr>
              <w:t>51</w:t>
            </w:r>
          </w:p>
        </w:tc>
        <w:tc>
          <w:tcPr>
            <w:tcW w:w="1174" w:type="dxa"/>
          </w:tcPr>
          <w:p>
            <w:pPr>
              <w:jc w:val="center"/>
              <w:rPr>
                <w:rFonts w:ascii="楷体" w:hAnsi="楷体" w:eastAsia="楷体" w:cs="仿宋"/>
                <w:sz w:val="24"/>
                <w:szCs w:val="32"/>
              </w:rPr>
            </w:pPr>
            <w:r>
              <w:rPr>
                <w:rFonts w:hint="eastAsia" w:ascii="楷体" w:hAnsi="楷体" w:eastAsia="楷体" w:cs="仿宋"/>
                <w:sz w:val="24"/>
                <w:szCs w:val="32"/>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tcPr>
          <w:p>
            <w:pPr>
              <w:jc w:val="center"/>
              <w:rPr>
                <w:rFonts w:ascii="楷体" w:hAnsi="楷体" w:eastAsia="楷体" w:cs="仿宋"/>
                <w:sz w:val="24"/>
                <w:szCs w:val="32"/>
              </w:rPr>
            </w:pPr>
            <w:r>
              <w:rPr>
                <w:rFonts w:hint="eastAsia" w:ascii="楷体" w:hAnsi="楷体" w:eastAsia="楷体" w:cs="仿宋"/>
                <w:sz w:val="24"/>
                <w:szCs w:val="32"/>
              </w:rPr>
              <w:t>七类罪名总计</w:t>
            </w:r>
          </w:p>
        </w:tc>
        <w:tc>
          <w:tcPr>
            <w:tcW w:w="1440" w:type="dxa"/>
            <w:vAlign w:val="center"/>
          </w:tcPr>
          <w:p>
            <w:pPr>
              <w:jc w:val="center"/>
              <w:rPr>
                <w:rFonts w:ascii="楷体" w:hAnsi="楷体" w:eastAsia="楷体" w:cs="仿宋"/>
                <w:sz w:val="24"/>
                <w:szCs w:val="32"/>
              </w:rPr>
            </w:pPr>
            <w:r>
              <w:rPr>
                <w:rFonts w:hint="eastAsia" w:ascii="楷体" w:hAnsi="楷体" w:eastAsia="楷体" w:cs="仿宋"/>
                <w:sz w:val="24"/>
                <w:szCs w:val="32"/>
              </w:rPr>
              <w:t>1114</w:t>
            </w:r>
          </w:p>
        </w:tc>
        <w:tc>
          <w:tcPr>
            <w:tcW w:w="1185" w:type="dxa"/>
          </w:tcPr>
          <w:p>
            <w:pPr>
              <w:jc w:val="center"/>
              <w:rPr>
                <w:rFonts w:ascii="楷体" w:hAnsi="楷体" w:eastAsia="楷体" w:cs="仿宋"/>
                <w:sz w:val="24"/>
                <w:szCs w:val="32"/>
              </w:rPr>
            </w:pPr>
            <w:r>
              <w:rPr>
                <w:rFonts w:hint="eastAsia" w:ascii="楷体" w:hAnsi="楷体" w:eastAsia="楷体" w:cs="仿宋"/>
                <w:sz w:val="24"/>
                <w:szCs w:val="32"/>
              </w:rPr>
              <w:t>95.62%</w:t>
            </w:r>
          </w:p>
        </w:tc>
        <w:tc>
          <w:tcPr>
            <w:tcW w:w="1725" w:type="dxa"/>
          </w:tcPr>
          <w:p>
            <w:pPr>
              <w:jc w:val="center"/>
              <w:rPr>
                <w:rFonts w:ascii="楷体" w:hAnsi="楷体" w:eastAsia="楷体" w:cs="仿宋"/>
                <w:sz w:val="24"/>
                <w:szCs w:val="32"/>
              </w:rPr>
            </w:pPr>
            <w:r>
              <w:rPr>
                <w:rFonts w:hint="eastAsia" w:ascii="楷体" w:hAnsi="楷体" w:eastAsia="楷体" w:cs="仿宋"/>
                <w:sz w:val="24"/>
                <w:szCs w:val="32"/>
              </w:rPr>
              <w:t>2416</w:t>
            </w:r>
          </w:p>
        </w:tc>
        <w:tc>
          <w:tcPr>
            <w:tcW w:w="1174" w:type="dxa"/>
          </w:tcPr>
          <w:p>
            <w:pPr>
              <w:jc w:val="center"/>
              <w:rPr>
                <w:rFonts w:ascii="楷体" w:hAnsi="楷体" w:eastAsia="楷体" w:cs="仿宋"/>
                <w:sz w:val="24"/>
                <w:szCs w:val="32"/>
              </w:rPr>
            </w:pPr>
            <w:r>
              <w:rPr>
                <w:rFonts w:hint="eastAsia" w:ascii="楷体" w:hAnsi="楷体" w:eastAsia="楷体" w:cs="仿宋"/>
                <w:sz w:val="24"/>
                <w:szCs w:val="32"/>
              </w:rPr>
              <w:t>96.49%</w:t>
            </w:r>
          </w:p>
        </w:tc>
      </w:tr>
    </w:tbl>
    <w:p>
      <w:pPr>
        <w:jc w:val="center"/>
        <w:rPr>
          <w:rFonts w:ascii="楷体" w:hAnsi="楷体" w:eastAsia="楷体" w:cs="楷体"/>
          <w:sz w:val="32"/>
          <w:szCs w:val="40"/>
        </w:rPr>
      </w:pPr>
      <w:r>
        <w:rPr>
          <w:rFonts w:hint="eastAsia" w:ascii="仿宋" w:hAnsi="仿宋" w:eastAsia="仿宋" w:cs="仿宋"/>
          <w:sz w:val="28"/>
          <w:szCs w:val="36"/>
        </w:rPr>
        <w:t>表3  2017年-2022年涉案的七类罪名及人数分布</w:t>
      </w:r>
      <w:bookmarkStart w:id="18" w:name="_Toc2078"/>
      <w:bookmarkStart w:id="19" w:name="_Toc104365450"/>
      <w:bookmarkStart w:id="20" w:name="_Toc101706791"/>
    </w:p>
    <w:p>
      <w:pPr>
        <w:ind w:left="840"/>
        <w:outlineLvl w:val="1"/>
        <w:rPr>
          <w:rFonts w:ascii="黑体" w:hAnsi="黑体" w:eastAsia="黑体" w:cs="黑体"/>
          <w:bCs/>
          <w:sz w:val="32"/>
          <w:szCs w:val="40"/>
        </w:rPr>
      </w:pPr>
      <w:r>
        <w:rPr>
          <w:rFonts w:hint="eastAsia" w:ascii="黑体" w:hAnsi="黑体" w:eastAsia="黑体" w:cs="黑体"/>
          <w:bCs/>
          <w:sz w:val="32"/>
          <w:szCs w:val="40"/>
        </w:rPr>
        <w:t>二、案件特点</w:t>
      </w:r>
      <w:bookmarkEnd w:id="18"/>
      <w:bookmarkEnd w:id="19"/>
    </w:p>
    <w:p>
      <w:pPr>
        <w:ind w:firstLine="643" w:firstLineChars="200"/>
        <w:outlineLvl w:val="1"/>
        <w:rPr>
          <w:rFonts w:ascii="楷体" w:hAnsi="楷体" w:eastAsia="楷体" w:cs="仿宋"/>
          <w:b/>
          <w:bCs/>
          <w:sz w:val="32"/>
          <w:szCs w:val="40"/>
        </w:rPr>
      </w:pPr>
      <w:bookmarkStart w:id="21" w:name="_Toc104365451"/>
      <w:bookmarkStart w:id="22" w:name="_Toc19295"/>
      <w:bookmarkStart w:id="23" w:name="_Toc11397"/>
      <w:bookmarkStart w:id="24" w:name="_Toc103522959"/>
      <w:bookmarkStart w:id="25" w:name="_Toc23919"/>
      <w:r>
        <w:rPr>
          <w:rFonts w:hint="eastAsia" w:ascii="楷体" w:hAnsi="楷体" w:eastAsia="楷体" w:cs="仿宋"/>
          <w:b/>
          <w:bCs/>
          <w:sz w:val="32"/>
          <w:szCs w:val="40"/>
        </w:rPr>
        <w:t>（一）发案地域差异明显，与环境资源地区分布成正相关</w:t>
      </w:r>
      <w:bookmarkEnd w:id="20"/>
      <w:bookmarkEnd w:id="21"/>
      <w:bookmarkEnd w:id="22"/>
      <w:bookmarkEnd w:id="23"/>
      <w:bookmarkEnd w:id="24"/>
      <w:bookmarkEnd w:id="25"/>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地区公安机关移送的案件不仅数量上有明显差异，在移送的罪名上也同样因资源的地域分布不同而呈现出地区间差异。在移送案件数量上，徐州市18个公安分局、1个公安支队统计周期内共向本院移送案件1165件2504人，其中五县（市）一区</w:t>
      </w:r>
      <w:r>
        <w:rPr>
          <w:rFonts w:hint="eastAsia" w:cs="仿宋_GB2312" w:asciiTheme="minorEastAsia" w:hAnsiTheme="minorEastAsia"/>
          <w:sz w:val="32"/>
          <w:szCs w:val="32"/>
          <w:vertAlign w:val="superscript"/>
        </w:rPr>
        <w:footnoteReference w:id="0"/>
      </w:r>
      <w:r>
        <w:rPr>
          <w:rFonts w:hint="eastAsia" w:ascii="仿宋_GB2312" w:hAnsi="仿宋_GB2312" w:eastAsia="仿宋_GB2312" w:cs="仿宋_GB2312"/>
          <w:sz w:val="32"/>
          <w:szCs w:val="32"/>
        </w:rPr>
        <w:t>的案件量占全市总案件量的76.82%，涉案人数占比为78.4%。</w:t>
      </w:r>
    </w:p>
    <w:tbl>
      <w:tblPr>
        <w:tblStyle w:val="11"/>
        <w:tblpPr w:leftFromText="180" w:rightFromText="180" w:vertAnchor="text" w:horzAnchor="margin" w:tblpY="5027"/>
        <w:tblOverlap w:val="never"/>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912"/>
        <w:gridCol w:w="1276"/>
        <w:gridCol w:w="1682"/>
        <w:gridCol w:w="1294"/>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315" w:type="dxa"/>
            <w:shd w:val="clear" w:color="auto" w:fill="E7E6E6"/>
            <w:vAlign w:val="center"/>
          </w:tcPr>
          <w:p>
            <w:pPr>
              <w:jc w:val="center"/>
              <w:rPr>
                <w:rFonts w:ascii="黑体" w:hAnsi="黑体" w:eastAsia="黑体" w:cs="楷体"/>
                <w:szCs w:val="21"/>
              </w:rPr>
            </w:pPr>
            <w:r>
              <w:rPr>
                <w:rFonts w:hint="eastAsia" w:ascii="黑体" w:hAnsi="黑体" w:eastAsia="黑体" w:cs="楷体"/>
                <w:szCs w:val="21"/>
              </w:rPr>
              <w:t>罪名</w:t>
            </w:r>
          </w:p>
        </w:tc>
        <w:tc>
          <w:tcPr>
            <w:tcW w:w="912" w:type="dxa"/>
            <w:shd w:val="clear" w:color="auto" w:fill="E7E6E6"/>
            <w:vAlign w:val="center"/>
          </w:tcPr>
          <w:p>
            <w:pPr>
              <w:jc w:val="center"/>
              <w:rPr>
                <w:rFonts w:ascii="黑体" w:hAnsi="黑体" w:eastAsia="黑体" w:cs="楷体"/>
                <w:szCs w:val="21"/>
              </w:rPr>
            </w:pPr>
            <w:r>
              <w:rPr>
                <w:rFonts w:hint="eastAsia" w:ascii="黑体" w:hAnsi="黑体" w:eastAsia="黑体" w:cs="楷体"/>
                <w:szCs w:val="21"/>
              </w:rPr>
              <w:t>总数（件）</w:t>
            </w:r>
          </w:p>
        </w:tc>
        <w:tc>
          <w:tcPr>
            <w:tcW w:w="4252" w:type="dxa"/>
            <w:gridSpan w:val="3"/>
            <w:shd w:val="clear" w:color="auto" w:fill="E7E6E6"/>
            <w:vAlign w:val="center"/>
          </w:tcPr>
          <w:p>
            <w:pPr>
              <w:jc w:val="center"/>
              <w:rPr>
                <w:rFonts w:ascii="黑体" w:hAnsi="黑体" w:eastAsia="黑体" w:cs="楷体"/>
                <w:szCs w:val="21"/>
              </w:rPr>
            </w:pPr>
            <w:r>
              <w:rPr>
                <w:rFonts w:hint="eastAsia" w:ascii="黑体" w:hAnsi="黑体" w:eastAsia="黑体" w:cs="楷体"/>
                <w:szCs w:val="21"/>
              </w:rPr>
              <w:t>案件前三地区及数量（件）</w:t>
            </w:r>
          </w:p>
        </w:tc>
        <w:tc>
          <w:tcPr>
            <w:tcW w:w="1721" w:type="dxa"/>
            <w:shd w:val="clear" w:color="auto" w:fill="E7E6E6"/>
            <w:vAlign w:val="center"/>
          </w:tcPr>
          <w:p>
            <w:pPr>
              <w:jc w:val="center"/>
              <w:rPr>
                <w:rFonts w:ascii="黑体" w:hAnsi="黑体" w:eastAsia="黑体" w:cs="楷体"/>
                <w:szCs w:val="21"/>
              </w:rPr>
            </w:pPr>
            <w:r>
              <w:rPr>
                <w:rFonts w:hint="eastAsia" w:ascii="黑体" w:hAnsi="黑体" w:eastAsia="黑体" w:cs="楷体"/>
                <w:szCs w:val="21"/>
              </w:rPr>
              <w:t>案件前三地区数量占总数比值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5" w:type="dxa"/>
            <w:vAlign w:val="center"/>
          </w:tcPr>
          <w:p>
            <w:pPr>
              <w:jc w:val="center"/>
              <w:rPr>
                <w:rFonts w:ascii="楷体" w:hAnsi="楷体" w:eastAsia="楷体" w:cs="楷体"/>
                <w:sz w:val="24"/>
                <w:szCs w:val="32"/>
              </w:rPr>
            </w:pPr>
            <w:r>
              <w:rPr>
                <w:rFonts w:hint="eastAsia" w:ascii="楷体" w:hAnsi="楷体" w:eastAsia="楷体" w:cs="楷体"/>
                <w:sz w:val="24"/>
                <w:szCs w:val="32"/>
              </w:rPr>
              <w:t>危害珍贵、濒危野生动物罪</w:t>
            </w:r>
          </w:p>
        </w:tc>
        <w:tc>
          <w:tcPr>
            <w:tcW w:w="912" w:type="dxa"/>
            <w:vAlign w:val="center"/>
          </w:tcPr>
          <w:p>
            <w:pPr>
              <w:jc w:val="center"/>
              <w:rPr>
                <w:rFonts w:ascii="楷体" w:hAnsi="楷体" w:eastAsia="楷体" w:cs="楷体"/>
                <w:sz w:val="24"/>
                <w:szCs w:val="32"/>
              </w:rPr>
            </w:pPr>
            <w:r>
              <w:rPr>
                <w:rFonts w:hint="eastAsia" w:ascii="楷体" w:hAnsi="楷体" w:eastAsia="楷体" w:cs="楷体"/>
                <w:sz w:val="24"/>
                <w:szCs w:val="32"/>
              </w:rPr>
              <w:t>365</w:t>
            </w:r>
          </w:p>
        </w:tc>
        <w:tc>
          <w:tcPr>
            <w:tcW w:w="1276" w:type="dxa"/>
            <w:vAlign w:val="center"/>
          </w:tcPr>
          <w:p>
            <w:pPr>
              <w:jc w:val="center"/>
              <w:rPr>
                <w:rFonts w:ascii="楷体" w:hAnsi="楷体" w:eastAsia="楷体" w:cs="楷体"/>
                <w:sz w:val="24"/>
                <w:szCs w:val="32"/>
              </w:rPr>
            </w:pPr>
            <w:r>
              <w:rPr>
                <w:rFonts w:hint="eastAsia" w:ascii="楷体" w:hAnsi="楷体" w:eastAsia="楷体" w:cs="楷体"/>
                <w:sz w:val="24"/>
                <w:szCs w:val="32"/>
              </w:rPr>
              <w:t>丰县71</w:t>
            </w:r>
          </w:p>
        </w:tc>
        <w:tc>
          <w:tcPr>
            <w:tcW w:w="1682" w:type="dxa"/>
            <w:vAlign w:val="center"/>
          </w:tcPr>
          <w:p>
            <w:pPr>
              <w:jc w:val="center"/>
              <w:rPr>
                <w:rFonts w:ascii="楷体" w:hAnsi="楷体" w:eastAsia="楷体" w:cs="楷体"/>
                <w:sz w:val="24"/>
                <w:szCs w:val="32"/>
              </w:rPr>
            </w:pPr>
            <w:r>
              <w:rPr>
                <w:rFonts w:hint="eastAsia" w:ascii="楷体" w:hAnsi="楷体" w:eastAsia="楷体" w:cs="楷体"/>
                <w:sz w:val="24"/>
                <w:szCs w:val="32"/>
              </w:rPr>
              <w:t>邳州市69</w:t>
            </w:r>
          </w:p>
        </w:tc>
        <w:tc>
          <w:tcPr>
            <w:tcW w:w="1294" w:type="dxa"/>
            <w:vAlign w:val="center"/>
          </w:tcPr>
          <w:p>
            <w:pPr>
              <w:jc w:val="center"/>
              <w:rPr>
                <w:rFonts w:ascii="楷体" w:hAnsi="楷体" w:eastAsia="楷体" w:cs="楷体"/>
                <w:sz w:val="24"/>
                <w:szCs w:val="32"/>
              </w:rPr>
            </w:pPr>
            <w:r>
              <w:rPr>
                <w:rFonts w:hint="eastAsia" w:ascii="楷体" w:hAnsi="楷体" w:eastAsia="楷体" w:cs="楷体"/>
                <w:sz w:val="24"/>
                <w:szCs w:val="32"/>
              </w:rPr>
              <w:t>云龙区45</w:t>
            </w:r>
          </w:p>
        </w:tc>
        <w:tc>
          <w:tcPr>
            <w:tcW w:w="1721" w:type="dxa"/>
            <w:vAlign w:val="center"/>
          </w:tcPr>
          <w:p>
            <w:pPr>
              <w:jc w:val="center"/>
              <w:rPr>
                <w:rFonts w:ascii="楷体" w:hAnsi="楷体" w:eastAsia="楷体" w:cs="楷体"/>
                <w:sz w:val="24"/>
                <w:szCs w:val="32"/>
              </w:rPr>
            </w:pPr>
            <w:r>
              <w:rPr>
                <w:rFonts w:hint="eastAsia" w:ascii="楷体" w:hAnsi="楷体" w:eastAsia="楷体" w:cs="楷体"/>
                <w:sz w:val="24"/>
                <w:szCs w:val="32"/>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5" w:type="dxa"/>
            <w:vAlign w:val="center"/>
          </w:tcPr>
          <w:p>
            <w:pPr>
              <w:jc w:val="center"/>
              <w:rPr>
                <w:rFonts w:ascii="楷体" w:hAnsi="楷体" w:eastAsia="楷体" w:cs="楷体"/>
                <w:sz w:val="24"/>
                <w:szCs w:val="32"/>
              </w:rPr>
            </w:pPr>
            <w:r>
              <w:rPr>
                <w:rFonts w:hint="eastAsia" w:ascii="楷体" w:hAnsi="楷体" w:eastAsia="楷体" w:cs="楷体"/>
                <w:sz w:val="24"/>
                <w:szCs w:val="32"/>
              </w:rPr>
              <w:t>污染环境罪</w:t>
            </w:r>
          </w:p>
        </w:tc>
        <w:tc>
          <w:tcPr>
            <w:tcW w:w="912" w:type="dxa"/>
            <w:vAlign w:val="center"/>
          </w:tcPr>
          <w:p>
            <w:pPr>
              <w:jc w:val="center"/>
              <w:rPr>
                <w:rFonts w:ascii="楷体" w:hAnsi="楷体" w:eastAsia="楷体" w:cs="楷体"/>
                <w:sz w:val="24"/>
                <w:szCs w:val="32"/>
              </w:rPr>
            </w:pPr>
            <w:r>
              <w:rPr>
                <w:rFonts w:hint="eastAsia" w:ascii="楷体" w:hAnsi="楷体" w:eastAsia="楷体" w:cs="楷体"/>
                <w:sz w:val="24"/>
                <w:szCs w:val="32"/>
              </w:rPr>
              <w:t>302</w:t>
            </w:r>
          </w:p>
        </w:tc>
        <w:tc>
          <w:tcPr>
            <w:tcW w:w="1276" w:type="dxa"/>
            <w:vAlign w:val="center"/>
          </w:tcPr>
          <w:p>
            <w:pPr>
              <w:jc w:val="center"/>
              <w:rPr>
                <w:rFonts w:ascii="楷体" w:hAnsi="楷体" w:eastAsia="楷体" w:cs="楷体"/>
                <w:sz w:val="24"/>
                <w:szCs w:val="32"/>
              </w:rPr>
            </w:pPr>
            <w:r>
              <w:rPr>
                <w:rFonts w:hint="eastAsia" w:ascii="楷体" w:hAnsi="楷体" w:eastAsia="楷体" w:cs="楷体"/>
                <w:sz w:val="24"/>
                <w:szCs w:val="32"/>
              </w:rPr>
              <w:t>铜山区77</w:t>
            </w:r>
          </w:p>
        </w:tc>
        <w:tc>
          <w:tcPr>
            <w:tcW w:w="1682" w:type="dxa"/>
            <w:vAlign w:val="center"/>
          </w:tcPr>
          <w:p>
            <w:pPr>
              <w:jc w:val="center"/>
              <w:rPr>
                <w:rFonts w:ascii="楷体" w:hAnsi="楷体" w:eastAsia="楷体" w:cs="楷体"/>
                <w:sz w:val="24"/>
                <w:szCs w:val="32"/>
              </w:rPr>
            </w:pPr>
            <w:r>
              <w:rPr>
                <w:rFonts w:hint="eastAsia" w:ascii="楷体" w:hAnsi="楷体" w:eastAsia="楷体" w:cs="楷体"/>
                <w:sz w:val="24"/>
                <w:szCs w:val="32"/>
              </w:rPr>
              <w:t>丰县49</w:t>
            </w:r>
          </w:p>
        </w:tc>
        <w:tc>
          <w:tcPr>
            <w:tcW w:w="1294" w:type="dxa"/>
            <w:vAlign w:val="center"/>
          </w:tcPr>
          <w:p>
            <w:pPr>
              <w:jc w:val="center"/>
              <w:rPr>
                <w:rFonts w:ascii="楷体" w:hAnsi="楷体" w:eastAsia="楷体" w:cs="楷体"/>
                <w:sz w:val="24"/>
                <w:szCs w:val="32"/>
              </w:rPr>
            </w:pPr>
            <w:r>
              <w:rPr>
                <w:rFonts w:hint="eastAsia" w:ascii="楷体" w:hAnsi="楷体" w:eastAsia="楷体" w:cs="楷体"/>
                <w:sz w:val="24"/>
                <w:szCs w:val="32"/>
              </w:rPr>
              <w:t>睢宁县38</w:t>
            </w:r>
          </w:p>
        </w:tc>
        <w:tc>
          <w:tcPr>
            <w:tcW w:w="1721" w:type="dxa"/>
            <w:vAlign w:val="center"/>
          </w:tcPr>
          <w:p>
            <w:pPr>
              <w:jc w:val="center"/>
              <w:rPr>
                <w:rFonts w:ascii="楷体" w:hAnsi="楷体" w:eastAsia="楷体" w:cs="楷体"/>
                <w:sz w:val="24"/>
                <w:szCs w:val="32"/>
              </w:rPr>
            </w:pPr>
            <w:r>
              <w:rPr>
                <w:rFonts w:hint="eastAsia" w:ascii="楷体" w:hAnsi="楷体" w:eastAsia="楷体" w:cs="楷体"/>
                <w:sz w:val="24"/>
                <w:szCs w:val="32"/>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5" w:type="dxa"/>
            <w:vAlign w:val="center"/>
          </w:tcPr>
          <w:p>
            <w:pPr>
              <w:jc w:val="center"/>
              <w:rPr>
                <w:rFonts w:ascii="楷体" w:hAnsi="楷体" w:eastAsia="楷体" w:cs="楷体"/>
                <w:sz w:val="24"/>
                <w:szCs w:val="32"/>
              </w:rPr>
            </w:pPr>
            <w:r>
              <w:rPr>
                <w:rFonts w:hint="eastAsia" w:ascii="楷体" w:hAnsi="楷体" w:eastAsia="楷体" w:cs="楷体"/>
                <w:sz w:val="24"/>
                <w:szCs w:val="32"/>
              </w:rPr>
              <w:t>非法采矿罪</w:t>
            </w:r>
          </w:p>
        </w:tc>
        <w:tc>
          <w:tcPr>
            <w:tcW w:w="912" w:type="dxa"/>
            <w:vAlign w:val="center"/>
          </w:tcPr>
          <w:p>
            <w:pPr>
              <w:jc w:val="center"/>
              <w:rPr>
                <w:rFonts w:ascii="楷体" w:hAnsi="楷体" w:eastAsia="楷体" w:cs="楷体"/>
                <w:sz w:val="24"/>
                <w:szCs w:val="32"/>
              </w:rPr>
            </w:pPr>
            <w:r>
              <w:rPr>
                <w:rFonts w:hint="eastAsia" w:ascii="楷体" w:hAnsi="楷体" w:eastAsia="楷体" w:cs="楷体"/>
                <w:sz w:val="24"/>
                <w:szCs w:val="32"/>
              </w:rPr>
              <w:t>189</w:t>
            </w:r>
          </w:p>
        </w:tc>
        <w:tc>
          <w:tcPr>
            <w:tcW w:w="1276" w:type="dxa"/>
            <w:vAlign w:val="center"/>
          </w:tcPr>
          <w:p>
            <w:pPr>
              <w:jc w:val="center"/>
              <w:rPr>
                <w:rFonts w:ascii="楷体" w:hAnsi="楷体" w:eastAsia="楷体" w:cs="楷体"/>
                <w:sz w:val="24"/>
                <w:szCs w:val="32"/>
              </w:rPr>
            </w:pPr>
            <w:r>
              <w:rPr>
                <w:rFonts w:hint="eastAsia" w:ascii="楷体" w:hAnsi="楷体" w:eastAsia="楷体" w:cs="楷体"/>
                <w:sz w:val="24"/>
                <w:szCs w:val="32"/>
              </w:rPr>
              <w:t>铜山区59</w:t>
            </w:r>
          </w:p>
        </w:tc>
        <w:tc>
          <w:tcPr>
            <w:tcW w:w="1682" w:type="dxa"/>
            <w:vAlign w:val="center"/>
          </w:tcPr>
          <w:p>
            <w:pPr>
              <w:jc w:val="center"/>
              <w:rPr>
                <w:rFonts w:ascii="楷体" w:hAnsi="楷体" w:eastAsia="楷体" w:cs="楷体"/>
                <w:sz w:val="24"/>
                <w:szCs w:val="32"/>
              </w:rPr>
            </w:pPr>
            <w:r>
              <w:rPr>
                <w:rFonts w:hint="eastAsia" w:ascii="楷体" w:hAnsi="楷体" w:eastAsia="楷体" w:cs="楷体"/>
                <w:sz w:val="24"/>
                <w:szCs w:val="32"/>
              </w:rPr>
              <w:t>沛县47</w:t>
            </w:r>
          </w:p>
        </w:tc>
        <w:tc>
          <w:tcPr>
            <w:tcW w:w="1294" w:type="dxa"/>
            <w:vAlign w:val="center"/>
          </w:tcPr>
          <w:p>
            <w:pPr>
              <w:jc w:val="center"/>
              <w:rPr>
                <w:rFonts w:ascii="楷体" w:hAnsi="楷体" w:eastAsia="楷体" w:cs="楷体"/>
                <w:sz w:val="24"/>
                <w:szCs w:val="32"/>
              </w:rPr>
            </w:pPr>
            <w:r>
              <w:rPr>
                <w:rFonts w:hint="eastAsia" w:ascii="楷体" w:hAnsi="楷体" w:eastAsia="楷体" w:cs="楷体"/>
                <w:sz w:val="24"/>
                <w:szCs w:val="32"/>
              </w:rPr>
              <w:t>新沂市39</w:t>
            </w:r>
          </w:p>
        </w:tc>
        <w:tc>
          <w:tcPr>
            <w:tcW w:w="1721" w:type="dxa"/>
            <w:vAlign w:val="center"/>
          </w:tcPr>
          <w:p>
            <w:pPr>
              <w:jc w:val="center"/>
              <w:rPr>
                <w:rFonts w:ascii="楷体" w:hAnsi="楷体" w:eastAsia="楷体" w:cs="楷体"/>
                <w:sz w:val="24"/>
                <w:szCs w:val="32"/>
              </w:rPr>
            </w:pPr>
            <w:r>
              <w:rPr>
                <w:rFonts w:hint="eastAsia" w:ascii="楷体" w:hAnsi="楷体" w:eastAsia="楷体" w:cs="楷体"/>
                <w:sz w:val="24"/>
                <w:szCs w:val="32"/>
              </w:rPr>
              <w:t>76.72%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5" w:type="dxa"/>
            <w:vAlign w:val="center"/>
          </w:tcPr>
          <w:p>
            <w:pPr>
              <w:jc w:val="center"/>
              <w:rPr>
                <w:rFonts w:ascii="楷体" w:hAnsi="楷体" w:eastAsia="楷体" w:cs="楷体"/>
                <w:sz w:val="24"/>
                <w:szCs w:val="32"/>
              </w:rPr>
            </w:pPr>
            <w:r>
              <w:rPr>
                <w:rFonts w:hint="eastAsia" w:ascii="楷体" w:hAnsi="楷体" w:eastAsia="楷体" w:cs="楷体"/>
                <w:sz w:val="24"/>
                <w:szCs w:val="32"/>
              </w:rPr>
              <w:t>非法狩猎罪</w:t>
            </w:r>
          </w:p>
        </w:tc>
        <w:tc>
          <w:tcPr>
            <w:tcW w:w="912" w:type="dxa"/>
            <w:vAlign w:val="center"/>
          </w:tcPr>
          <w:p>
            <w:pPr>
              <w:jc w:val="center"/>
              <w:rPr>
                <w:rFonts w:ascii="楷体" w:hAnsi="楷体" w:eastAsia="楷体" w:cs="楷体"/>
                <w:sz w:val="24"/>
                <w:szCs w:val="32"/>
              </w:rPr>
            </w:pPr>
            <w:r>
              <w:rPr>
                <w:rFonts w:hint="eastAsia" w:ascii="楷体" w:hAnsi="楷体" w:eastAsia="楷体" w:cs="楷体"/>
                <w:sz w:val="24"/>
                <w:szCs w:val="32"/>
              </w:rPr>
              <w:t>100</w:t>
            </w:r>
          </w:p>
        </w:tc>
        <w:tc>
          <w:tcPr>
            <w:tcW w:w="1276" w:type="dxa"/>
            <w:vAlign w:val="center"/>
          </w:tcPr>
          <w:p>
            <w:pPr>
              <w:jc w:val="center"/>
              <w:rPr>
                <w:rFonts w:ascii="楷体" w:hAnsi="楷体" w:eastAsia="楷体" w:cs="楷体"/>
                <w:sz w:val="24"/>
                <w:szCs w:val="32"/>
              </w:rPr>
            </w:pPr>
            <w:r>
              <w:rPr>
                <w:rFonts w:hint="eastAsia" w:ascii="楷体" w:hAnsi="楷体" w:eastAsia="楷体" w:cs="楷体"/>
                <w:sz w:val="24"/>
                <w:szCs w:val="32"/>
              </w:rPr>
              <w:t>睢宁县36</w:t>
            </w:r>
          </w:p>
        </w:tc>
        <w:tc>
          <w:tcPr>
            <w:tcW w:w="1682" w:type="dxa"/>
            <w:vAlign w:val="center"/>
          </w:tcPr>
          <w:p>
            <w:pPr>
              <w:jc w:val="center"/>
              <w:rPr>
                <w:rFonts w:ascii="楷体" w:hAnsi="楷体" w:eastAsia="楷体" w:cs="楷体"/>
                <w:sz w:val="24"/>
                <w:szCs w:val="32"/>
              </w:rPr>
            </w:pPr>
            <w:r>
              <w:rPr>
                <w:rFonts w:hint="eastAsia" w:ascii="楷体" w:hAnsi="楷体" w:eastAsia="楷体" w:cs="楷体"/>
                <w:sz w:val="24"/>
                <w:szCs w:val="32"/>
              </w:rPr>
              <w:t>沛县24</w:t>
            </w:r>
          </w:p>
        </w:tc>
        <w:tc>
          <w:tcPr>
            <w:tcW w:w="1294" w:type="dxa"/>
            <w:vAlign w:val="center"/>
          </w:tcPr>
          <w:p>
            <w:pPr>
              <w:jc w:val="center"/>
              <w:rPr>
                <w:rFonts w:ascii="楷体" w:hAnsi="楷体" w:eastAsia="楷体" w:cs="楷体"/>
                <w:sz w:val="24"/>
                <w:szCs w:val="32"/>
              </w:rPr>
            </w:pPr>
            <w:r>
              <w:rPr>
                <w:rFonts w:hint="eastAsia" w:ascii="楷体" w:hAnsi="楷体" w:eastAsia="楷体" w:cs="楷体"/>
                <w:sz w:val="24"/>
                <w:szCs w:val="32"/>
              </w:rPr>
              <w:t>邳州市10</w:t>
            </w:r>
          </w:p>
        </w:tc>
        <w:tc>
          <w:tcPr>
            <w:tcW w:w="1721" w:type="dxa"/>
            <w:vAlign w:val="center"/>
          </w:tcPr>
          <w:p>
            <w:pPr>
              <w:jc w:val="center"/>
              <w:rPr>
                <w:rFonts w:ascii="楷体" w:hAnsi="楷体" w:eastAsia="楷体" w:cs="楷体"/>
                <w:sz w:val="24"/>
                <w:szCs w:val="32"/>
              </w:rPr>
            </w:pPr>
            <w:r>
              <w:rPr>
                <w:rFonts w:hint="eastAsia" w:ascii="楷体" w:hAnsi="楷体" w:eastAsia="楷体" w:cs="楷体"/>
                <w:sz w:val="24"/>
                <w:szCs w:val="3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5" w:type="dxa"/>
            <w:vAlign w:val="center"/>
          </w:tcPr>
          <w:p>
            <w:pPr>
              <w:jc w:val="center"/>
              <w:rPr>
                <w:rFonts w:ascii="楷体" w:hAnsi="楷体" w:eastAsia="楷体" w:cs="楷体"/>
                <w:sz w:val="24"/>
                <w:szCs w:val="32"/>
              </w:rPr>
            </w:pPr>
            <w:r>
              <w:rPr>
                <w:rFonts w:hint="eastAsia" w:ascii="楷体" w:hAnsi="楷体" w:eastAsia="楷体" w:cs="楷体"/>
                <w:sz w:val="24"/>
                <w:szCs w:val="32"/>
              </w:rPr>
              <w:t>滥伐林木罪</w:t>
            </w:r>
          </w:p>
        </w:tc>
        <w:tc>
          <w:tcPr>
            <w:tcW w:w="912" w:type="dxa"/>
            <w:vAlign w:val="center"/>
          </w:tcPr>
          <w:p>
            <w:pPr>
              <w:jc w:val="center"/>
              <w:rPr>
                <w:rFonts w:ascii="楷体" w:hAnsi="楷体" w:eastAsia="楷体" w:cs="楷体"/>
                <w:sz w:val="24"/>
                <w:szCs w:val="32"/>
              </w:rPr>
            </w:pPr>
            <w:r>
              <w:rPr>
                <w:rFonts w:hint="eastAsia" w:ascii="楷体" w:hAnsi="楷体" w:eastAsia="楷体" w:cs="楷体"/>
                <w:sz w:val="24"/>
                <w:szCs w:val="32"/>
              </w:rPr>
              <w:t>100</w:t>
            </w:r>
          </w:p>
        </w:tc>
        <w:tc>
          <w:tcPr>
            <w:tcW w:w="1276" w:type="dxa"/>
            <w:vAlign w:val="center"/>
          </w:tcPr>
          <w:p>
            <w:pPr>
              <w:jc w:val="center"/>
              <w:rPr>
                <w:rFonts w:ascii="楷体" w:hAnsi="楷体" w:eastAsia="楷体" w:cs="楷体"/>
                <w:sz w:val="24"/>
                <w:szCs w:val="32"/>
              </w:rPr>
            </w:pPr>
            <w:r>
              <w:rPr>
                <w:rFonts w:hint="eastAsia" w:ascii="楷体" w:hAnsi="楷体" w:eastAsia="楷体" w:cs="楷体"/>
                <w:sz w:val="24"/>
                <w:szCs w:val="32"/>
              </w:rPr>
              <w:t>新沂市36</w:t>
            </w:r>
          </w:p>
        </w:tc>
        <w:tc>
          <w:tcPr>
            <w:tcW w:w="1682" w:type="dxa"/>
            <w:vAlign w:val="center"/>
          </w:tcPr>
          <w:p>
            <w:pPr>
              <w:jc w:val="center"/>
              <w:rPr>
                <w:rFonts w:ascii="楷体" w:hAnsi="楷体" w:eastAsia="楷体" w:cs="楷体"/>
                <w:sz w:val="24"/>
                <w:szCs w:val="32"/>
              </w:rPr>
            </w:pPr>
            <w:r>
              <w:rPr>
                <w:rFonts w:hint="eastAsia" w:ascii="楷体" w:hAnsi="楷体" w:eastAsia="楷体" w:cs="楷体"/>
                <w:sz w:val="24"/>
                <w:szCs w:val="32"/>
              </w:rPr>
              <w:t>沛县17</w:t>
            </w:r>
          </w:p>
        </w:tc>
        <w:tc>
          <w:tcPr>
            <w:tcW w:w="1294" w:type="dxa"/>
            <w:vAlign w:val="center"/>
          </w:tcPr>
          <w:p>
            <w:pPr>
              <w:jc w:val="center"/>
              <w:rPr>
                <w:rFonts w:ascii="楷体" w:hAnsi="楷体" w:eastAsia="楷体" w:cs="楷体"/>
                <w:sz w:val="24"/>
                <w:szCs w:val="32"/>
              </w:rPr>
            </w:pPr>
            <w:r>
              <w:rPr>
                <w:rFonts w:hint="eastAsia" w:ascii="楷体" w:hAnsi="楷体" w:eastAsia="楷体" w:cs="楷体"/>
                <w:sz w:val="24"/>
                <w:szCs w:val="32"/>
              </w:rPr>
              <w:t>邳州市17</w:t>
            </w:r>
          </w:p>
        </w:tc>
        <w:tc>
          <w:tcPr>
            <w:tcW w:w="1721" w:type="dxa"/>
            <w:vAlign w:val="center"/>
          </w:tcPr>
          <w:p>
            <w:pPr>
              <w:jc w:val="center"/>
              <w:rPr>
                <w:rFonts w:ascii="楷体" w:hAnsi="楷体" w:eastAsia="楷体" w:cs="楷体"/>
                <w:sz w:val="24"/>
                <w:szCs w:val="32"/>
              </w:rPr>
            </w:pPr>
            <w:r>
              <w:rPr>
                <w:rFonts w:hint="eastAsia" w:ascii="楷体" w:hAnsi="楷体" w:eastAsia="楷体" w:cs="楷体"/>
                <w:sz w:val="24"/>
                <w:szCs w:val="3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5" w:type="dxa"/>
            <w:vAlign w:val="center"/>
          </w:tcPr>
          <w:p>
            <w:pPr>
              <w:jc w:val="center"/>
              <w:rPr>
                <w:rFonts w:ascii="楷体" w:hAnsi="楷体" w:eastAsia="楷体" w:cs="楷体"/>
                <w:sz w:val="24"/>
                <w:szCs w:val="32"/>
              </w:rPr>
            </w:pPr>
            <w:r>
              <w:rPr>
                <w:rFonts w:hint="eastAsia" w:ascii="楷体" w:hAnsi="楷体" w:eastAsia="楷体" w:cs="楷体"/>
                <w:sz w:val="24"/>
                <w:szCs w:val="32"/>
              </w:rPr>
              <w:t>非法占用农用地罪</w:t>
            </w:r>
          </w:p>
        </w:tc>
        <w:tc>
          <w:tcPr>
            <w:tcW w:w="912" w:type="dxa"/>
            <w:vAlign w:val="center"/>
          </w:tcPr>
          <w:p>
            <w:pPr>
              <w:jc w:val="center"/>
              <w:rPr>
                <w:rFonts w:ascii="楷体" w:hAnsi="楷体" w:eastAsia="楷体" w:cs="楷体"/>
                <w:sz w:val="24"/>
                <w:szCs w:val="32"/>
              </w:rPr>
            </w:pPr>
            <w:r>
              <w:rPr>
                <w:rFonts w:hint="eastAsia" w:ascii="楷体" w:hAnsi="楷体" w:eastAsia="楷体" w:cs="楷体"/>
                <w:sz w:val="24"/>
                <w:szCs w:val="32"/>
              </w:rPr>
              <w:t>31</w:t>
            </w:r>
          </w:p>
        </w:tc>
        <w:tc>
          <w:tcPr>
            <w:tcW w:w="1276" w:type="dxa"/>
            <w:vAlign w:val="center"/>
          </w:tcPr>
          <w:p>
            <w:pPr>
              <w:jc w:val="center"/>
              <w:rPr>
                <w:rFonts w:ascii="楷体" w:hAnsi="楷体" w:eastAsia="楷体" w:cs="楷体"/>
                <w:sz w:val="24"/>
                <w:szCs w:val="32"/>
              </w:rPr>
            </w:pPr>
            <w:r>
              <w:rPr>
                <w:rFonts w:hint="eastAsia" w:ascii="楷体" w:hAnsi="楷体" w:eastAsia="楷体" w:cs="楷体"/>
                <w:sz w:val="24"/>
                <w:szCs w:val="32"/>
              </w:rPr>
              <w:t>铜山区20</w:t>
            </w:r>
          </w:p>
        </w:tc>
        <w:tc>
          <w:tcPr>
            <w:tcW w:w="1682" w:type="dxa"/>
            <w:vAlign w:val="center"/>
          </w:tcPr>
          <w:p>
            <w:pPr>
              <w:jc w:val="center"/>
              <w:rPr>
                <w:rFonts w:ascii="楷体" w:hAnsi="楷体" w:eastAsia="楷体" w:cs="楷体"/>
                <w:sz w:val="24"/>
                <w:szCs w:val="32"/>
              </w:rPr>
            </w:pPr>
            <w:r>
              <w:rPr>
                <w:rFonts w:hint="eastAsia" w:ascii="楷体" w:hAnsi="楷体" w:eastAsia="楷体" w:cs="楷体"/>
                <w:sz w:val="24"/>
                <w:szCs w:val="32"/>
              </w:rPr>
              <w:t>丰县5</w:t>
            </w:r>
          </w:p>
        </w:tc>
        <w:tc>
          <w:tcPr>
            <w:tcW w:w="1294" w:type="dxa"/>
            <w:vAlign w:val="center"/>
          </w:tcPr>
          <w:p>
            <w:pPr>
              <w:jc w:val="center"/>
              <w:rPr>
                <w:rFonts w:ascii="楷体" w:hAnsi="楷体" w:eastAsia="楷体" w:cs="楷体"/>
                <w:sz w:val="24"/>
                <w:szCs w:val="32"/>
              </w:rPr>
            </w:pPr>
            <w:r>
              <w:rPr>
                <w:rFonts w:hint="eastAsia" w:ascii="楷体" w:hAnsi="楷体" w:eastAsia="楷体" w:cs="楷体"/>
                <w:sz w:val="24"/>
                <w:szCs w:val="32"/>
              </w:rPr>
              <w:t>睢宁县2</w:t>
            </w:r>
          </w:p>
        </w:tc>
        <w:tc>
          <w:tcPr>
            <w:tcW w:w="1721" w:type="dxa"/>
            <w:vAlign w:val="center"/>
          </w:tcPr>
          <w:p>
            <w:pPr>
              <w:jc w:val="center"/>
              <w:rPr>
                <w:rFonts w:ascii="楷体" w:hAnsi="楷体" w:eastAsia="楷体" w:cs="楷体"/>
                <w:sz w:val="24"/>
                <w:szCs w:val="32"/>
              </w:rPr>
            </w:pPr>
            <w:r>
              <w:rPr>
                <w:rFonts w:hint="eastAsia" w:ascii="楷体" w:hAnsi="楷体" w:eastAsia="楷体" w:cs="楷体"/>
                <w:sz w:val="24"/>
                <w:szCs w:val="32"/>
              </w:rPr>
              <w:t>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5" w:type="dxa"/>
            <w:vAlign w:val="center"/>
          </w:tcPr>
          <w:p>
            <w:pPr>
              <w:jc w:val="center"/>
              <w:rPr>
                <w:rFonts w:ascii="楷体" w:hAnsi="楷体" w:eastAsia="楷体" w:cs="楷体"/>
                <w:sz w:val="24"/>
                <w:szCs w:val="32"/>
              </w:rPr>
            </w:pPr>
            <w:r>
              <w:rPr>
                <w:rFonts w:hint="eastAsia" w:ascii="楷体" w:hAnsi="楷体" w:eastAsia="楷体" w:cs="楷体"/>
                <w:sz w:val="24"/>
                <w:szCs w:val="32"/>
              </w:rPr>
              <w:t>非法捕捞水产品罪</w:t>
            </w:r>
          </w:p>
        </w:tc>
        <w:tc>
          <w:tcPr>
            <w:tcW w:w="912" w:type="dxa"/>
            <w:vAlign w:val="center"/>
          </w:tcPr>
          <w:p>
            <w:pPr>
              <w:jc w:val="center"/>
              <w:rPr>
                <w:rFonts w:ascii="楷体" w:hAnsi="楷体" w:eastAsia="楷体" w:cs="楷体"/>
                <w:sz w:val="24"/>
                <w:szCs w:val="32"/>
              </w:rPr>
            </w:pPr>
            <w:r>
              <w:rPr>
                <w:rFonts w:hint="eastAsia" w:ascii="楷体" w:hAnsi="楷体" w:eastAsia="楷体" w:cs="楷体"/>
                <w:sz w:val="24"/>
                <w:szCs w:val="32"/>
              </w:rPr>
              <w:t>27</w:t>
            </w:r>
          </w:p>
        </w:tc>
        <w:tc>
          <w:tcPr>
            <w:tcW w:w="1276" w:type="dxa"/>
            <w:vAlign w:val="center"/>
          </w:tcPr>
          <w:p>
            <w:pPr>
              <w:jc w:val="center"/>
              <w:rPr>
                <w:rFonts w:ascii="楷体" w:hAnsi="楷体" w:eastAsia="楷体" w:cs="楷体"/>
                <w:sz w:val="24"/>
                <w:szCs w:val="32"/>
              </w:rPr>
            </w:pPr>
            <w:r>
              <w:rPr>
                <w:rFonts w:hint="eastAsia" w:ascii="楷体" w:hAnsi="楷体" w:eastAsia="楷体" w:cs="楷体"/>
                <w:sz w:val="24"/>
                <w:szCs w:val="32"/>
              </w:rPr>
              <w:t>新沂市20</w:t>
            </w:r>
          </w:p>
        </w:tc>
        <w:tc>
          <w:tcPr>
            <w:tcW w:w="2976" w:type="dxa"/>
            <w:gridSpan w:val="2"/>
            <w:vAlign w:val="center"/>
          </w:tcPr>
          <w:p>
            <w:pPr>
              <w:jc w:val="center"/>
              <w:rPr>
                <w:rFonts w:ascii="楷体" w:hAnsi="楷体" w:eastAsia="楷体" w:cs="楷体"/>
                <w:sz w:val="24"/>
                <w:szCs w:val="32"/>
              </w:rPr>
            </w:pPr>
            <w:r>
              <w:rPr>
                <w:rFonts w:hint="eastAsia" w:ascii="楷体" w:hAnsi="楷体" w:eastAsia="楷体" w:cs="楷体"/>
                <w:sz w:val="24"/>
                <w:szCs w:val="32"/>
              </w:rPr>
              <w:t>铜山区、丰县、邳州市各2</w:t>
            </w:r>
          </w:p>
        </w:tc>
        <w:tc>
          <w:tcPr>
            <w:tcW w:w="1721" w:type="dxa"/>
            <w:vAlign w:val="center"/>
          </w:tcPr>
          <w:p>
            <w:pPr>
              <w:jc w:val="center"/>
              <w:rPr>
                <w:rFonts w:ascii="楷体" w:hAnsi="楷体" w:eastAsia="楷体" w:cs="楷体"/>
                <w:sz w:val="24"/>
                <w:szCs w:val="32"/>
              </w:rPr>
            </w:pPr>
            <w:r>
              <w:rPr>
                <w:rFonts w:hint="eastAsia" w:ascii="楷体" w:hAnsi="楷体" w:eastAsia="楷体" w:cs="楷体"/>
                <w:sz w:val="24"/>
                <w:szCs w:val="32"/>
              </w:rPr>
              <w:t>96.3%</w:t>
            </w:r>
          </w:p>
        </w:tc>
      </w:tr>
    </w:tbl>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移送案件的罪名上，以占案件总量超九成的七类罪名为例，各地移送的案件数量在不同罪名上分布差异明显，如下图所示（详见表4）。主要原因，一是与当地自然资源分布相关。如非法采矿罪，系因铜山区、沛县、新沂市多矿石、河砂等矿产资源，再如非法捕捞水产品罪，新沂市、沛县境内有骆马湖、微山湖等水域资源；二是与当地地域面积、开发程度正相关。如铜山区，地区面积辽阔，区内开发程度较高，相应污染环境罪、非法占用农用地罪案件数量高。</w:t>
      </w:r>
    </w:p>
    <w:p>
      <w:pPr>
        <w:jc w:val="center"/>
        <w:rPr>
          <w:rFonts w:ascii="楷体" w:hAnsi="楷体" w:eastAsia="楷体" w:cs="仿宋"/>
          <w:b/>
          <w:bCs/>
          <w:sz w:val="32"/>
          <w:szCs w:val="40"/>
        </w:rPr>
      </w:pPr>
      <w:r>
        <w:rPr>
          <w:rFonts w:hint="eastAsia" w:ascii="仿宋" w:hAnsi="仿宋" w:eastAsia="仿宋" w:cs="仿宋"/>
          <w:sz w:val="28"/>
          <w:szCs w:val="36"/>
        </w:rPr>
        <w:t>表4 各地移送案件所涉主要罪名分布</w:t>
      </w:r>
      <w:bookmarkStart w:id="26" w:name="_Toc10833"/>
      <w:bookmarkStart w:id="27" w:name="_Toc103522960"/>
      <w:bookmarkStart w:id="28" w:name="_Toc808"/>
      <w:bookmarkStart w:id="29" w:name="_Toc101706792"/>
    </w:p>
    <w:p>
      <w:pPr>
        <w:jc w:val="left"/>
        <w:rPr>
          <w:rFonts w:ascii="楷体" w:hAnsi="楷体" w:eastAsia="楷体" w:cs="仿宋"/>
          <w:sz w:val="32"/>
          <w:szCs w:val="40"/>
        </w:rPr>
      </w:pPr>
      <w:r>
        <w:rPr>
          <w:rFonts w:hint="eastAsia" w:ascii="楷体" w:hAnsi="楷体" w:eastAsia="楷体" w:cs="仿宋"/>
          <w:sz w:val="32"/>
          <w:szCs w:val="40"/>
        </w:rPr>
        <w:t>　</w:t>
      </w:r>
      <w:r>
        <w:rPr>
          <w:rFonts w:hint="eastAsia" w:ascii="楷体" w:hAnsi="楷体" w:eastAsia="楷体" w:cs="仿宋"/>
          <w:b/>
          <w:bCs/>
          <w:sz w:val="32"/>
          <w:szCs w:val="40"/>
        </w:rPr>
        <w:t>（二）团伙化犯罪特征明显</w:t>
      </w:r>
      <w:bookmarkEnd w:id="26"/>
      <w:bookmarkEnd w:id="27"/>
      <w:bookmarkEnd w:id="2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案均人员比为1：2.28</w:t>
      </w:r>
      <w:r>
        <w:rPr>
          <w:rFonts w:hint="eastAsia" w:cs="仿宋_GB2312" w:asciiTheme="minorEastAsia" w:hAnsiTheme="minorEastAsia"/>
          <w:sz w:val="32"/>
          <w:szCs w:val="32"/>
          <w:vertAlign w:val="superscript"/>
        </w:rPr>
        <w:footnoteReference w:id="1"/>
      </w:r>
      <w:r>
        <w:rPr>
          <w:rFonts w:hint="eastAsia" w:ascii="仿宋_GB2312" w:hAnsi="仿宋_GB2312" w:eastAsia="仿宋_GB2312" w:cs="仿宋_GB2312"/>
          <w:sz w:val="32"/>
          <w:szCs w:val="32"/>
        </w:rPr>
        <w:t>，人数最多的个案犯罪人员多达34人（有个别雇工没有纳入刑事打击范围，案件实际参与人数更多）。上述七类主要罪名的案均人员比分别为1.84、2.82、3.35、1.73、1.78、1.5、2.26（详见表5），其中非法采矿罪尤为突出，这与该类犯罪分工环节较多有关。</w:t>
      </w:r>
    </w:p>
    <w:p>
      <w:pPr>
        <w:ind w:firstLine="640" w:firstLineChars="200"/>
        <w:rPr>
          <w:rFonts w:ascii="仿宋" w:hAnsi="仿宋" w:eastAsia="仿宋" w:cs="仿宋"/>
          <w:sz w:val="32"/>
          <w:szCs w:val="40"/>
        </w:rPr>
      </w:pPr>
      <w:r>
        <w:rPr>
          <w:rFonts w:ascii="仿宋" w:hAnsi="仿宋" w:eastAsia="仿宋" w:cs="仿宋"/>
          <w:sz w:val="32"/>
          <w:szCs w:val="40"/>
        </w:rPr>
        <w:object>
          <v:shape id="_x0000_i1027" o:spt="75" alt="7b0a202020202263686172745265734964223a20223230343732323537220a7d0a" type="#_x0000_t75" style="height:169.9pt;width:361.9pt;" o:ole="t" filled="f" o:preferrelative="t" stroked="f" coordsize="21600,21600">
            <v:path/>
            <v:fill on="f" focussize="0,0"/>
            <v:stroke on="f" joinstyle="miter"/>
            <v:imagedata r:id="rId11" o:title="7b0a202020202263686172745265734964223a20223230343732323537220a7d0a"/>
            <o:lock v:ext="edit" aspectratio="f"/>
            <w10:wrap type="none"/>
            <w10:anchorlock/>
          </v:shape>
          <o:OLEObject Type="Embed" ProgID="Excel.Sheet.8" ShapeID="_x0000_i1027" DrawAspect="Content" ObjectID="_1468075727" r:id="rId10">
            <o:LockedField>false</o:LockedField>
          </o:OLEObject>
        </w:object>
      </w:r>
    </w:p>
    <w:p>
      <w:pPr>
        <w:jc w:val="center"/>
        <w:rPr>
          <w:rFonts w:ascii="楷体" w:hAnsi="楷体" w:eastAsia="楷体" w:cs="仿宋"/>
          <w:b/>
          <w:bCs/>
          <w:sz w:val="32"/>
          <w:szCs w:val="40"/>
        </w:rPr>
      </w:pPr>
      <w:r>
        <w:rPr>
          <w:rFonts w:hint="eastAsia" w:ascii="仿宋" w:hAnsi="仿宋" w:eastAsia="仿宋" w:cs="仿宋"/>
          <w:sz w:val="28"/>
          <w:szCs w:val="36"/>
        </w:rPr>
        <w:t>表5 七类主要罪名案均人员比分布</w:t>
      </w:r>
    </w:p>
    <w:p>
      <w:pPr>
        <w:outlineLvl w:val="1"/>
        <w:rPr>
          <w:rFonts w:ascii="楷体" w:hAnsi="楷体" w:eastAsia="楷体" w:cs="仿宋"/>
          <w:b/>
          <w:bCs/>
          <w:sz w:val="32"/>
          <w:szCs w:val="40"/>
        </w:rPr>
      </w:pPr>
      <w:bookmarkStart w:id="30" w:name="_Toc103522961"/>
      <w:bookmarkStart w:id="31" w:name="_Toc28899"/>
      <w:bookmarkStart w:id="32" w:name="_Toc18250"/>
      <w:r>
        <w:rPr>
          <w:rFonts w:hint="eastAsia" w:ascii="楷体" w:hAnsi="楷体" w:eastAsia="楷体" w:cs="仿宋"/>
          <w:sz w:val="32"/>
          <w:szCs w:val="40"/>
        </w:rPr>
        <w:t>　　</w:t>
      </w:r>
      <w:bookmarkStart w:id="33" w:name="_Toc104365452"/>
      <w:bookmarkStart w:id="34" w:name="_Toc24409"/>
      <w:r>
        <w:rPr>
          <w:rFonts w:hint="eastAsia" w:ascii="楷体" w:hAnsi="楷体" w:eastAsia="楷体" w:cs="仿宋"/>
          <w:b/>
          <w:bCs/>
          <w:sz w:val="32"/>
          <w:szCs w:val="40"/>
        </w:rPr>
        <w:t>（三）自然人犯罪年龄集中、文化程度低、男女差异明显</w:t>
      </w:r>
      <w:bookmarkEnd w:id="29"/>
      <w:bookmarkEnd w:id="30"/>
      <w:bookmarkEnd w:id="31"/>
      <w:bookmarkEnd w:id="32"/>
      <w:bookmarkEnd w:id="33"/>
      <w:bookmarkEnd w:id="3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受理审查起诉案件进行分析。891起案件共有2034个犯罪主体，其中自然人为1973个，占比达97%。在1973人中，犯罪年龄跨度大，最小年龄16周岁，最大年龄78周岁，但同时也呈现出犯罪年龄相对集中的特点，作案时年龄在30-49岁间的共有1178人，占比达59.7%（详见表6）；犯罪主体受教育程度普遍较低，初中以下学历者共有1523人，占比达77.2%，高中（中专）学历者246人，大专及以上学历者204人（详见表7）；性别上，男女犯罪比例差异较大，男性犯罪主体有1790人，女性犯罪主体为183人，双方比例达9.78:1。</w:t>
      </w:r>
    </w:p>
    <w:p>
      <w:pPr>
        <w:ind w:firstLine="640" w:firstLineChars="200"/>
        <w:rPr>
          <w:rFonts w:ascii="仿宋" w:hAnsi="仿宋" w:eastAsia="仿宋" w:cs="仿宋"/>
          <w:sz w:val="32"/>
          <w:szCs w:val="40"/>
        </w:rPr>
      </w:pPr>
      <w:r>
        <w:rPr>
          <w:rFonts w:ascii="仿宋" w:hAnsi="仿宋" w:eastAsia="仿宋" w:cs="仿宋"/>
          <w:sz w:val="32"/>
          <w:szCs w:val="40"/>
        </w:rPr>
        <w:object>
          <v:shape id="_x0000_i1028" o:spt="75" alt="7b0a202020202263686172745265734964223a20223230343734353234220a7d0a" type="#_x0000_t75" style="height:160.3pt;width:386.9pt;" o:ole="t" filled="f" o:preferrelative="t" stroked="f" coordsize="21600,21600">
            <v:path/>
            <v:fill on="f" focussize="0,0"/>
            <v:stroke on="f" joinstyle="miter"/>
            <v:imagedata r:id="rId13" cropbottom="-82f" o:title="7b0a202020202263686172745265734964223a20223230343734353234220a7d0a"/>
            <o:lock v:ext="edit" aspectratio="f"/>
            <w10:wrap type="none"/>
            <w10:anchorlock/>
          </v:shape>
          <o:OLEObject Type="Embed" ProgID="Excel.Sheet.8" ShapeID="_x0000_i1028" DrawAspect="Content" ObjectID="_1468075728" r:id="rId12">
            <o:LockedField>false</o:LockedField>
          </o:OLEObject>
        </w:object>
      </w:r>
    </w:p>
    <w:p>
      <w:pPr>
        <w:jc w:val="center"/>
        <w:rPr>
          <w:rFonts w:ascii="仿宋" w:hAnsi="仿宋" w:eastAsia="仿宋" w:cs="仿宋"/>
          <w:sz w:val="28"/>
          <w:szCs w:val="36"/>
        </w:rPr>
      </w:pPr>
      <w:r>
        <w:rPr>
          <w:rFonts w:hint="eastAsia" w:ascii="仿宋" w:hAnsi="仿宋" w:eastAsia="仿宋" w:cs="仿宋"/>
          <w:sz w:val="28"/>
          <w:szCs w:val="36"/>
        </w:rPr>
        <w:t>表6 自然人犯罪主体年龄分布</w:t>
      </w:r>
    </w:p>
    <w:p>
      <w:pPr>
        <w:ind w:firstLine="640" w:firstLineChars="200"/>
        <w:jc w:val="left"/>
        <w:rPr>
          <w:rFonts w:ascii="楷体" w:hAnsi="楷体" w:eastAsia="楷体" w:cs="楷体"/>
          <w:sz w:val="32"/>
          <w:szCs w:val="40"/>
        </w:rPr>
      </w:pPr>
      <w:r>
        <w:rPr>
          <w:rFonts w:ascii="楷体" w:hAnsi="楷体" w:eastAsia="楷体" w:cs="楷体"/>
          <w:sz w:val="32"/>
          <w:szCs w:val="40"/>
        </w:rPr>
        <w:object>
          <v:shape id="_x0000_i1029" o:spt="75" alt="7b0a202020202263686172745265734964223a20223230343733363335220a7d0a" type="#_x0000_t75" style="height:144pt;width:352.3pt;" o:ole="t" filled="f" o:preferrelative="t" stroked="f" coordsize="21600,21600">
            <v:path/>
            <v:fill on="f" focussize="0,0"/>
            <v:stroke on="f" joinstyle="miter"/>
            <v:imagedata r:id="rId15" o:title="7b0a202020202263686172745265734964223a20223230343733363335220a7d0a"/>
            <o:lock v:ext="edit" aspectratio="f"/>
            <w10:wrap type="none"/>
            <w10:anchorlock/>
          </v:shape>
          <o:OLEObject Type="Embed" ProgID="Excel.Sheet.8" ShapeID="_x0000_i1029" DrawAspect="Content" ObjectID="_1468075729" r:id="rId14">
            <o:LockedField>false</o:LockedField>
          </o:OLEObject>
        </w:object>
      </w:r>
    </w:p>
    <w:p>
      <w:pPr>
        <w:jc w:val="center"/>
        <w:rPr>
          <w:rFonts w:ascii="楷体" w:hAnsi="楷体" w:eastAsia="楷体" w:cs="仿宋"/>
          <w:b/>
          <w:bCs/>
          <w:sz w:val="32"/>
          <w:szCs w:val="40"/>
        </w:rPr>
      </w:pPr>
      <w:r>
        <w:rPr>
          <w:rFonts w:hint="eastAsia" w:ascii="仿宋" w:hAnsi="仿宋" w:eastAsia="仿宋" w:cs="仿宋"/>
          <w:sz w:val="28"/>
          <w:szCs w:val="36"/>
        </w:rPr>
        <w:t>表7 自然人犯罪主体学历分布</w:t>
      </w:r>
      <w:bookmarkStart w:id="35" w:name="_Toc31521"/>
      <w:bookmarkStart w:id="36" w:name="_Toc101706793"/>
    </w:p>
    <w:p>
      <w:pPr>
        <w:outlineLvl w:val="1"/>
        <w:rPr>
          <w:rFonts w:ascii="楷体" w:hAnsi="楷体" w:eastAsia="楷体" w:cs="仿宋"/>
          <w:b/>
          <w:bCs/>
          <w:sz w:val="32"/>
          <w:szCs w:val="40"/>
        </w:rPr>
      </w:pPr>
      <w:bookmarkStart w:id="37" w:name="_Toc32367"/>
      <w:bookmarkStart w:id="38" w:name="_Toc103522962"/>
      <w:r>
        <w:rPr>
          <w:rFonts w:hint="eastAsia" w:ascii="楷体" w:hAnsi="楷体" w:eastAsia="楷体" w:cs="仿宋"/>
          <w:b/>
          <w:bCs/>
          <w:sz w:val="32"/>
          <w:szCs w:val="40"/>
        </w:rPr>
        <w:t>　</w:t>
      </w:r>
      <w:bookmarkStart w:id="39" w:name="_Toc104365453"/>
      <w:bookmarkStart w:id="40" w:name="_Toc32501"/>
      <w:r>
        <w:rPr>
          <w:rFonts w:hint="eastAsia" w:ascii="楷体" w:hAnsi="楷体" w:eastAsia="楷体" w:cs="仿宋"/>
          <w:b/>
          <w:bCs/>
          <w:sz w:val="32"/>
          <w:szCs w:val="40"/>
        </w:rPr>
        <w:t>（四）单位犯罪罪名相对集中</w:t>
      </w:r>
      <w:bookmarkEnd w:id="35"/>
      <w:bookmarkEnd w:id="36"/>
      <w:bookmarkEnd w:id="37"/>
      <w:bookmarkEnd w:id="38"/>
      <w:bookmarkEnd w:id="39"/>
      <w:bookmarkEnd w:id="40"/>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犯罪主体61个，其中公司主体56个，其他涉案组织5个。公司犯罪主体涉嫌主要罪名有污染环境罪、危害珍贵、濒危野生动物罪、非法采矿罪以及非法占用农用地罪。其他组织涉嫌主要罪名为非法转让、倒卖土地使用权罪、非法采矿罪、滥伐林木罪。单位主体是市场活动的主要参与者，虽然涉嫌犯罪数量较少，但因其对某些特定资源如土地、矿产资源等负有相应责任，或者其本身负有履行特定法律义务的责任，如重点排污单位要保障自动监测设备正常、稳定运行，禁止篡改排污指标等。其一旦产生犯罪往往比自然人犯罪造成的后果更加严重。</w:t>
      </w:r>
      <w:bookmarkStart w:id="41" w:name="_Toc101706794"/>
      <w:bookmarkStart w:id="42" w:name="_Toc28490"/>
      <w:bookmarkStart w:id="43" w:name="_Toc104365454"/>
    </w:p>
    <w:p>
      <w:pPr>
        <w:spacing w:before="312" w:beforeLines="100" w:after="312" w:afterLines="100"/>
        <w:jc w:val="center"/>
        <w:outlineLvl w:val="0"/>
        <w:rPr>
          <w:rFonts w:ascii="楷体" w:hAnsi="楷体" w:eastAsia="黑体" w:cs="楷体"/>
          <w:sz w:val="32"/>
          <w:szCs w:val="40"/>
        </w:rPr>
      </w:pPr>
      <w:r>
        <w:rPr>
          <w:rFonts w:hint="eastAsia" w:ascii="黑体" w:hAnsi="黑体" w:eastAsia="黑体"/>
          <w:sz w:val="36"/>
          <w:szCs w:val="36"/>
        </w:rPr>
        <w:t>第二部分 环境资源检察工作情况</w:t>
      </w:r>
      <w:bookmarkEnd w:id="41"/>
      <w:bookmarkEnd w:id="42"/>
      <w:bookmarkEnd w:id="4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年来，徐州铁检院立足检察职能，积极推进生态文明建设，通过打击各类破坏生态环境资源犯罪、开展公益诉讼等方式，全力修复受损的生态环境资源，守护人民的健康美好生活。跨区划检察改革稳步推进，集中管辖检察成效明显，工作做法得到最高人民检察院、江苏省人民检察院领导充分肯定</w:t>
      </w:r>
      <w:bookmarkStart w:id="44" w:name="_Toc101706795"/>
      <w:r>
        <w:rPr>
          <w:rFonts w:hint="eastAsia" w:ascii="仿宋_GB2312" w:hAnsi="仿宋_GB2312" w:eastAsia="仿宋_GB2312" w:cs="仿宋_GB2312"/>
          <w:sz w:val="32"/>
          <w:szCs w:val="32"/>
        </w:rPr>
        <w:t>。</w:t>
      </w:r>
    </w:p>
    <w:p>
      <w:pPr>
        <w:ind w:firstLine="640" w:firstLineChars="200"/>
        <w:outlineLvl w:val="1"/>
        <w:rPr>
          <w:rFonts w:ascii="黑体" w:hAnsi="黑体" w:eastAsia="黑体" w:cs="黑体"/>
          <w:sz w:val="32"/>
          <w:szCs w:val="40"/>
        </w:rPr>
      </w:pPr>
      <w:bookmarkStart w:id="45" w:name="_Toc2683"/>
      <w:r>
        <w:rPr>
          <w:rFonts w:hint="eastAsia" w:ascii="黑体" w:hAnsi="黑体" w:eastAsia="黑体" w:cs="黑体"/>
          <w:sz w:val="32"/>
          <w:szCs w:val="40"/>
        </w:rPr>
        <w:t>一、</w:t>
      </w:r>
      <w:bookmarkEnd w:id="44"/>
      <w:r>
        <w:rPr>
          <w:rFonts w:hint="eastAsia" w:ascii="黑体" w:hAnsi="黑体" w:eastAsia="黑体" w:cs="黑体"/>
          <w:sz w:val="32"/>
          <w:szCs w:val="40"/>
        </w:rPr>
        <w:t>立足司法办案加大生态环境司法保护力度</w:t>
      </w:r>
      <w:bookmarkEnd w:id="45"/>
    </w:p>
    <w:p>
      <w:pPr>
        <w:ind w:firstLine="643" w:firstLineChars="200"/>
        <w:outlineLvl w:val="2"/>
        <w:rPr>
          <w:rFonts w:ascii="楷体" w:hAnsi="楷体" w:eastAsia="楷体" w:cs="仿宋"/>
          <w:b/>
          <w:sz w:val="32"/>
          <w:szCs w:val="40"/>
        </w:rPr>
      </w:pPr>
      <w:bookmarkStart w:id="46" w:name="_Toc101706796"/>
      <w:r>
        <w:rPr>
          <w:rFonts w:hint="eastAsia" w:ascii="楷体" w:hAnsi="楷体" w:eastAsia="楷体" w:cs="仿宋"/>
          <w:b/>
          <w:sz w:val="32"/>
          <w:szCs w:val="40"/>
        </w:rPr>
        <w:t>（一）</w:t>
      </w:r>
      <w:bookmarkEnd w:id="46"/>
      <w:r>
        <w:rPr>
          <w:rFonts w:hint="eastAsia" w:ascii="楷体" w:hAnsi="楷体" w:eastAsia="楷体" w:cs="仿宋"/>
          <w:b/>
          <w:sz w:val="32"/>
          <w:szCs w:val="40"/>
        </w:rPr>
        <w:t>精准打击刑事犯罪</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紧紧围绕服务深入打好污染防治攻坚战、非法捕捞专项整治、打击非法采矿专项行动、打击危害野生动物专项行动等重大部署，严密防范、严厉打击各类严重破坏生态环境违法犯罪。在量刑上，通过确定刑量刑建议，严格控制缓刑适用，切实提高违法成本；在打击范围上，重点聚焦上下游关联犯罪，坚持全链条、全方位打击，对犯罪不同层次、不同环节的涉案人员，根据其地位作用大小、认罪态度、退赃退赔等情况，精准适用认罪认罚从宽制度，落实少捕慎诉慎押司法理念。先后办理了冯某某等人跨省倾倒油泥污染环境案等6起由公安部、生态环境部等挂牌督办案件。其中，在审查褚某某等7人跨行政区域转移固体废物污染环境一案中，积极履职，上下联动，追根溯源全链条打击上游产废单位、中间运输单位和下游非法处置单位及人员，打掉了多个非法处置危险废物产业链条，显示了打击危险废物污染环境的司法力度，形成打击破坏环境资源犯罪的震慑。</w:t>
      </w:r>
    </w:p>
    <w:p>
      <w:pPr>
        <w:ind w:firstLine="643" w:firstLineChars="200"/>
        <w:outlineLvl w:val="2"/>
        <w:rPr>
          <w:rFonts w:ascii="楷体" w:hAnsi="楷体" w:eastAsia="楷体" w:cs="仿宋"/>
          <w:b/>
          <w:sz w:val="32"/>
          <w:szCs w:val="40"/>
        </w:rPr>
      </w:pPr>
      <w:bookmarkStart w:id="47" w:name="_Toc101706797"/>
      <w:r>
        <w:rPr>
          <w:rFonts w:hint="eastAsia" w:ascii="楷体" w:hAnsi="楷体" w:eastAsia="楷体" w:cs="仿宋"/>
          <w:b/>
          <w:sz w:val="32"/>
          <w:szCs w:val="40"/>
        </w:rPr>
        <w:t>（二）提升司法办案质效</w:t>
      </w:r>
      <w:bookmarkEnd w:id="47"/>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一是确保办案质量。</w:t>
      </w:r>
      <w:r>
        <w:rPr>
          <w:rFonts w:hint="eastAsia" w:ascii="仿宋_GB2312" w:hAnsi="仿宋_GB2312" w:eastAsia="仿宋_GB2312" w:cs="仿宋_GB2312"/>
          <w:sz w:val="32"/>
          <w:szCs w:val="32"/>
        </w:rPr>
        <w:t>坚持阅卷审查与实地查勘相结合。注重自行补充侦查，对于污染环境案和重大非法采矿案必复看现场，五年来，查看现场400余次。坚持环资案件介入实质化。通过“听介绍、看现场、阅卷宗、问情况、议重点、提意见”六步工作法，深入做好提前介入工作，强化引导取证，统一证据认定标准，实质介入案件近200起，有效促进提升案件侦查质量。坚持借力引智解决案件难题。对办案中出现的疑难复杂及专业性问题，通过开展侦查实验、引进专家辅助人意见等方式，有助案件快速办理。坚持疑难复杂或重大影响案件及时请示上报。如在褚某某等人污染环境案中，及时以案件专报向上级机关汇报案件情况，就有关问题取得上级机关的指导支持。坚持公检法联席共商凝聚办案合力。制定了捕与不捕、诉与不诉的一类案件标准，提高了非法狩猎罪和滥伐林木罪起诉标准，规范了珍贵、濒危野生动物收购自用起诉标准，明确了污染环境案减少缓刑适用标准，对被雇用者是否构罪以及主从犯划分明确标准，统一了司法办案尺度。坚持做好不起诉案件后半篇文章。一方面通过公开听证的方式，邀请人民监督员、侦查人员等参与不起诉案件的公开听证，增强不起诉办案效果；另一方面，对需要给予行政处罚的被不起诉人，及时向同级行政主管部门制发检察意见书。坚持重点案件全面评查与一般案件定期评查相结合。通过对不批捕、不起诉等重点案件进行全面评查，对其他案件依比例定期抽查，严把案件质量关。集中管辖以来，所办理的审查逮捕、审查起诉案件，无复议复核、捕后不诉、判决无罪等错误及重大瑕疵问题。</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二是强化法律监督。</w:t>
      </w:r>
      <w:r>
        <w:rPr>
          <w:rFonts w:hint="eastAsia" w:ascii="仿宋_GB2312" w:hAnsi="仿宋_GB2312" w:eastAsia="仿宋_GB2312" w:cs="仿宋_GB2312"/>
          <w:sz w:val="32"/>
          <w:szCs w:val="32"/>
        </w:rPr>
        <w:t>加强立案监督和侦查活动监督，及时追捕追诉漏罪漏犯，引导公安机关全面收集完善证据。先后监督公安机关立案8件10人，监督撤案27件61人，纠正公安机关漏捕7人、漏诉38人，纠正后起诉均获判刑。对侦查活动监督口头纠正60余次，提出书面纠正意见13份，并就1件案件发现的非法证据依法予以排除。监督行政主管机关移送立案3件，就办案中发现的犯罪线索向有关单位移送8件。如，在办理杨某某等人非法采矿和掩饰、隐瞒犯罪所得罪一案中，自行补充侦查、督导查办双管齐下，先后追加认定遗漏犯罪事实21起、犯罪数额40余万元，追诉漏犯1人，监督立案4件，发出纠正违法通知书3份，移送相关犯罪线索2件。</w:t>
      </w:r>
    </w:p>
    <w:p>
      <w:pPr>
        <w:ind w:firstLine="643" w:firstLineChars="200"/>
        <w:outlineLvl w:val="2"/>
        <w:rPr>
          <w:rFonts w:ascii="楷体" w:hAnsi="楷体" w:eastAsia="楷体" w:cs="仿宋"/>
          <w:b/>
          <w:sz w:val="32"/>
          <w:szCs w:val="40"/>
        </w:rPr>
      </w:pPr>
      <w:bookmarkStart w:id="48" w:name="_Toc101706798"/>
      <w:r>
        <w:rPr>
          <w:rFonts w:hint="eastAsia" w:ascii="楷体" w:hAnsi="楷体" w:eastAsia="楷体" w:cs="仿宋"/>
          <w:b/>
          <w:sz w:val="32"/>
          <w:szCs w:val="40"/>
        </w:rPr>
        <w:t>（三）提高检察司法保护水平</w:t>
      </w:r>
      <w:bookmarkEnd w:id="48"/>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一是探索创新工作机制。</w:t>
      </w:r>
      <w:r>
        <w:rPr>
          <w:rFonts w:hint="eastAsia" w:ascii="仿宋_GB2312" w:hAnsi="仿宋_GB2312" w:eastAsia="仿宋_GB2312" w:cs="仿宋_GB2312"/>
          <w:sz w:val="32"/>
          <w:szCs w:val="32"/>
        </w:rPr>
        <w:t>首先，成立了专业化办案团队。为进一步推进环资检察专业化、特色化、品牌化建设，配齐配强环资检察专业化队伍。从全院集中选配政治素质高、业务能力强、工作认真负责的10名员额检察官和14名检察辅助人员成立环资办案团队，集中办理环境资源案件，并且明确检察长、副检察长要带头办理重大疑难复杂案件。其次，充分发挥检察委员会职能作用。一方面，通过召开检委会扩大会议组织办案人员对新颁布的法律法规进行学习，准确把握法律法规适用界限；另一方面，加强检委会对重大案件质量的把关作用，引导办案人员敢办案、能办案、办好案。再次，打造同堂培训新模式，共破执法难题。通过同堂培训、联席会议等形式，与公安机关、法院就环境资源犯罪司法实践中急需解决的重点、难点问题，共同研究学习，并将学习成果及时向徐州市及区（县）生态环境、自然资源、林业等部门同步传导，凝聚执法司法共识。</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二是践行恢复性司法，修复受损环境。</w:t>
      </w:r>
      <w:r>
        <w:rPr>
          <w:rFonts w:hint="eastAsia" w:ascii="仿宋_GB2312" w:hAnsi="仿宋_GB2312" w:eastAsia="仿宋_GB2312" w:cs="仿宋_GB2312"/>
          <w:sz w:val="32"/>
          <w:szCs w:val="32"/>
        </w:rPr>
        <w:t>健全完善刑事案件生态修复机制，以刑事案件的认罪认罚从宽处理，督促犯罪嫌疑人复垦土地、修复山体、恢复生态环境功能，就造成的生态环境损害后果，督促积极缴纳赔偿金，在省级以上媒体公开道歉，并联合公安、环保、国土等相关部门共同做好环境修复工作。如在办理涉海龟系列案件中，在打击犯罪的同时积极拓展公益诉讼，提出生态损害赔偿金4000万元。在最高人民检察院指导下，全国四级检察机关联动，协调海洋渔业主管部门积极救助涉案海龟，将来自徐州、西安、哈尔滨、太原等地的200余只海龟运抵海南进行放生，中央广播电视总台、《检察日报》等中央和省级媒体持续跟踪报道，真正起到“案件办理到位、环境修复到位、警示宣传到位”的示范效应。</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三是坚持能动检察，护佑保障民生。</w:t>
      </w:r>
      <w:r>
        <w:rPr>
          <w:rFonts w:hint="eastAsia" w:ascii="仿宋_GB2312" w:hAnsi="仿宋_GB2312" w:eastAsia="仿宋_GB2312" w:cs="仿宋_GB2312"/>
          <w:sz w:val="32"/>
          <w:szCs w:val="32"/>
        </w:rPr>
        <w:t>既要保护生态环境，也要关注案件背后的民生问题，对可能影响到行业发展的案件，注重体现司法的谦抑和善意，实现办案政治效果、社会效果和法律效果的有机统一。在办理一起非法交易费氏牡丹鹦鹉案时，综合考量案件社会危害性、大众认知预期和野生动物保护实际，兼顾天理国法人情，经过检委会研究，组织公开听证，专家论证，大量调查补正等工作，依法对刘某某等3人公开宣布绝对不起诉决定。同时，还积极推动国家林业和草原局在河南地区先行开展专用标识管理试点，近400家养殖户获批许可证，助力当地上亿元的扶贫产业发展，该案被《法治日报》《江苏法治报》以及人民网、正义网、澎湃新闻等多家媒体报道。</w:t>
      </w:r>
    </w:p>
    <w:p>
      <w:pPr>
        <w:ind w:firstLine="643" w:firstLineChars="200"/>
        <w:rPr>
          <w:rFonts w:ascii="黑体" w:hAnsi="黑体" w:eastAsia="黑体" w:cs="黑体"/>
          <w:sz w:val="32"/>
          <w:szCs w:val="40"/>
        </w:rPr>
      </w:pPr>
      <w:r>
        <w:rPr>
          <w:rFonts w:hint="eastAsia" w:ascii="仿宋_GB2312" w:hAnsi="仿宋_GB2312" w:eastAsia="仿宋_GB2312" w:cs="仿宋_GB2312"/>
          <w:b/>
          <w:sz w:val="32"/>
          <w:szCs w:val="32"/>
        </w:rPr>
        <w:t>四是落实“少捕慎诉慎押”理念，护航民营企业发展。</w:t>
      </w:r>
      <w:r>
        <w:rPr>
          <w:rFonts w:hint="eastAsia" w:ascii="仿宋_GB2312" w:hAnsi="仿宋_GB2312" w:eastAsia="仿宋_GB2312" w:cs="仿宋_GB2312"/>
          <w:sz w:val="32"/>
          <w:szCs w:val="32"/>
        </w:rPr>
        <w:t>在办理民营企业涉嫌犯罪的案件时，尽可能减少使用查封、扣押财产等措施，对涉案的企业负责人尽量适用非羁押措施，保障企业正常运营。办理的睢宁某工程机械制造有限公司污染环境案，提出对被告人判处缓刑的量刑建议被法院采纳，保住了数百名员工的“饭碗”，同时，还对涉案企业提出合法处置危险废物、建设合格生产线、引进法务人才等建议，该企业全部整改落实并送赠“心系企业司法为民”锦旗。</w:t>
      </w:r>
      <w:bookmarkStart w:id="49" w:name="_Toc101706799"/>
      <w:bookmarkStart w:id="50" w:name="_Toc104365455"/>
      <w:bookmarkStart w:id="51" w:name="_Toc10056"/>
    </w:p>
    <w:p>
      <w:pPr>
        <w:ind w:firstLine="640" w:firstLineChars="200"/>
        <w:outlineLvl w:val="1"/>
        <w:rPr>
          <w:rFonts w:ascii="黑体" w:hAnsi="黑体" w:eastAsia="黑体" w:cs="黑体"/>
          <w:sz w:val="32"/>
          <w:szCs w:val="40"/>
        </w:rPr>
      </w:pPr>
      <w:r>
        <w:rPr>
          <w:rFonts w:hint="eastAsia" w:ascii="黑体" w:hAnsi="黑体" w:eastAsia="黑体" w:cs="黑体"/>
          <w:sz w:val="32"/>
          <w:szCs w:val="40"/>
        </w:rPr>
        <w:t>二、</w:t>
      </w:r>
      <w:bookmarkEnd w:id="49"/>
      <w:r>
        <w:rPr>
          <w:rFonts w:hint="eastAsia" w:ascii="黑体" w:hAnsi="黑体" w:eastAsia="黑体" w:cs="黑体"/>
          <w:sz w:val="32"/>
          <w:szCs w:val="40"/>
        </w:rPr>
        <w:t>发挥职能优势推动生态环境治理</w:t>
      </w:r>
      <w:bookmarkEnd w:id="50"/>
      <w:bookmarkEnd w:id="51"/>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在依法办案的基础上，将办案职能向社会治理领域延伸，通过案源治理，促进标本兼治。</w:t>
      </w:r>
    </w:p>
    <w:p>
      <w:pPr>
        <w:ind w:firstLine="643" w:firstLineChars="200"/>
        <w:outlineLvl w:val="2"/>
        <w:rPr>
          <w:rFonts w:ascii="楷体" w:hAnsi="楷体" w:eastAsia="楷体" w:cs="仿宋"/>
          <w:b/>
          <w:sz w:val="32"/>
          <w:szCs w:val="40"/>
        </w:rPr>
      </w:pPr>
      <w:bookmarkStart w:id="52" w:name="_Toc101706800"/>
      <w:r>
        <w:rPr>
          <w:rFonts w:hint="eastAsia" w:ascii="楷体" w:hAnsi="楷体" w:eastAsia="楷体" w:cs="仿宋"/>
          <w:b/>
          <w:sz w:val="32"/>
          <w:szCs w:val="40"/>
        </w:rPr>
        <w:t>（一）制定规范性文件夯实工作制度基础</w:t>
      </w:r>
      <w:bookmarkEnd w:id="5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集中管辖环境资源刑事案件以来，通过深入剖析案件反映出的倾向性问题和管理漏洞，本院先后制定了《徐州铁路运输检察院引导刑事案件侦查工作办法》《徐州铁路运输检察院关于在司法办案中修复生态环境的意见》《徐州铁路运输检察院相对不起诉实施办法》《徐州铁路运输检察院检察意见制发办法》《徐州铁路运输检察院典型案例培育工作实施办法》等文件，与徐州市人民检察院、徐州铁路运输法院、宿迁市宿城区人民法院等机关会签了《关于深化新时代行政检察法律监督工作协作配合的意见》《工作会谈纪要》《关于建立动物资源类刑事案件办理机制的意见》《骆马湖流域环境资源类案件举报奖励办法》等文件，有效夯实了司法工作基础。</w:t>
      </w:r>
    </w:p>
    <w:p>
      <w:pPr>
        <w:ind w:firstLine="643" w:firstLineChars="200"/>
        <w:outlineLvl w:val="2"/>
        <w:rPr>
          <w:rFonts w:ascii="楷体" w:hAnsi="楷体" w:eastAsia="楷体" w:cs="仿宋"/>
          <w:b/>
          <w:sz w:val="32"/>
          <w:szCs w:val="40"/>
        </w:rPr>
      </w:pPr>
      <w:bookmarkStart w:id="53" w:name="_Toc101706801"/>
      <w:r>
        <w:rPr>
          <w:rFonts w:hint="eastAsia" w:ascii="楷体" w:hAnsi="楷体" w:eastAsia="楷体" w:cs="仿宋"/>
          <w:b/>
          <w:sz w:val="32"/>
          <w:szCs w:val="40"/>
        </w:rPr>
        <w:t>（二）积极开展调研精准制发检察建议</w:t>
      </w:r>
      <w:bookmarkEnd w:id="53"/>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立足检察办案，积极开展调研分析。</w:t>
      </w:r>
      <w:r>
        <w:rPr>
          <w:rFonts w:hint="eastAsia" w:ascii="仿宋_GB2312" w:hAnsi="仿宋_GB2312" w:eastAsia="仿宋_GB2312" w:cs="仿宋_GB2312"/>
          <w:sz w:val="32"/>
          <w:szCs w:val="32"/>
        </w:rPr>
        <w:t>撰写了《费氏牡丹鹦鹉案专题报告》《跨行政区域转移固体废物污染环境调研报告》《非法采矿成因分析报告》《打击危险废物非法处置、自动监测数据弄虚作假犯罪活动专项行动报告》《徐州市危险化学品安全专项整治工作总结报告》《关于徐州市车辆维修行业危险废物被非法处置污染环境有关情况的报告》《关于不起诉案件移送主管机关行政处罚情况调研报告》等多篇调研报告，先后向最高人民检察院、江苏省人民检察院、徐州市人民政府、徐州市人民检察院以及其他相关部门报送，获得了上级部门的批示肯定，为领导机关作出决策提供了参考。</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同时，为推动办案中发现的普遍性、倾向性社会治理问题得到系统性解决，依法向有关单位和部门精准制发检察建议书。</w:t>
      </w:r>
      <w:r>
        <w:rPr>
          <w:rFonts w:hint="eastAsia" w:ascii="仿宋_GB2312" w:hAnsi="仿宋_GB2312" w:eastAsia="仿宋_GB2312" w:cs="仿宋_GB2312"/>
          <w:sz w:val="32"/>
          <w:szCs w:val="32"/>
        </w:rPr>
        <w:t>如在办理徐州市车辆维修行业危险废物被非法处置污染环境刑事案件中，针对发现的部分车辆维修单位违规处置危险废物污染环境问题深入调查研究，专题报告徐州市委并向徐州市生态环境部门制发检察建议书。徐州市政府主要领导作出批示，徐州市生态环境局成立检察建议整改落实工作领导小组，制定印发《机动车维修行业危险废物整治工作方案》《联动工作机制方案》，集中开展汽修行业危废专项执法行动，截止到2022年2月中旬，排查机动车维修行业单位（个体户）604家，共排查问题389个，立案处罚违规行为2起。</w:t>
      </w:r>
    </w:p>
    <w:p>
      <w:pPr>
        <w:ind w:firstLine="643" w:firstLineChars="200"/>
        <w:outlineLvl w:val="2"/>
        <w:rPr>
          <w:rFonts w:ascii="楷体" w:hAnsi="楷体" w:eastAsia="楷体" w:cs="仿宋"/>
          <w:b/>
          <w:sz w:val="32"/>
          <w:szCs w:val="40"/>
        </w:rPr>
      </w:pPr>
      <w:bookmarkStart w:id="54" w:name="_Toc101706802"/>
      <w:r>
        <w:rPr>
          <w:rFonts w:hint="eastAsia" w:ascii="楷体" w:hAnsi="楷体" w:eastAsia="楷体" w:cs="仿宋"/>
          <w:b/>
          <w:sz w:val="32"/>
          <w:szCs w:val="40"/>
        </w:rPr>
        <w:t>（三）注重培育典型案例强化普法宣传</w:t>
      </w:r>
      <w:bookmarkEnd w:id="5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每一个司法案例都是生动鲜活的法治故事，“一个案例胜过一打文件”。徐州铁检院坚持以案释法、以案普法，在办案过程中注重典型案例培育，办理了一批精品名案，被中央</w:t>
      </w:r>
      <w:r>
        <w:rPr>
          <w:rFonts w:hint="eastAsia" w:ascii="仿宋_GB2312" w:hAnsi="仿宋_GB2312" w:eastAsia="仿宋_GB2312" w:cs="仿宋_GB2312"/>
          <w:sz w:val="32"/>
          <w:szCs w:val="32"/>
          <w:lang w:val="en-US" w:eastAsia="zh-CN"/>
        </w:rPr>
        <w:t>广播</w:t>
      </w:r>
      <w:r>
        <w:rPr>
          <w:rFonts w:hint="eastAsia" w:ascii="仿宋_GB2312" w:hAnsi="仿宋_GB2312" w:eastAsia="仿宋_GB2312" w:cs="仿宋_GB2312"/>
          <w:sz w:val="32"/>
          <w:szCs w:val="32"/>
        </w:rPr>
        <w:t>电视</w:t>
      </w:r>
      <w:r>
        <w:rPr>
          <w:rFonts w:hint="eastAsia" w:ascii="仿宋_GB2312" w:hAnsi="仿宋_GB2312" w:eastAsia="仿宋_GB2312" w:cs="仿宋_GB2312"/>
          <w:sz w:val="32"/>
          <w:szCs w:val="32"/>
          <w:lang w:val="en-US" w:eastAsia="zh-CN"/>
        </w:rPr>
        <w:t>总</w:t>
      </w:r>
      <w:r>
        <w:rPr>
          <w:rFonts w:hint="eastAsia" w:ascii="仿宋_GB2312" w:hAnsi="仿宋_GB2312" w:eastAsia="仿宋_GB2312" w:cs="仿宋_GB2312"/>
          <w:sz w:val="32"/>
          <w:szCs w:val="32"/>
        </w:rPr>
        <w:t>台、新华网、《法治日报》《检察日报》《中国青年报》等中央和省级媒体报道。同时，坚持通过多渠道普法，筑牢宣传阵地，形成了集线上庭审、公开集中审判、送法进校园、进企业、进社区以及开展案件讲述会、制作微电影、微动漫等多种宣传形式于一体的综合性宣传体系，把更接地气更实用的普法服务送进千家万户，增强社会支持环境资源检察、保护环境资源的意识。积极配合法院利用远程庭审系统在线公开审理被告人史某某非法狩猎案，中央广播电视总台“社会与法”频道《现场》栏目、“央视频”、“央视网”等30多家媒体平台同步直播，南京农业大学、江苏师范大学和徐州市中小学100余万名学生在线观看庭审，共同完成新学期第一堂生态法治教育课。</w:t>
      </w:r>
    </w:p>
    <w:p>
      <w:pPr>
        <w:ind w:firstLine="640" w:firstLineChars="200"/>
        <w:outlineLvl w:val="1"/>
        <w:rPr>
          <w:rFonts w:ascii="黑体" w:hAnsi="黑体" w:eastAsia="黑体" w:cs="黑体"/>
          <w:sz w:val="32"/>
          <w:szCs w:val="40"/>
        </w:rPr>
      </w:pPr>
      <w:bookmarkStart w:id="55" w:name="_Toc101706803"/>
      <w:bookmarkStart w:id="56" w:name="_Toc11506"/>
      <w:bookmarkStart w:id="57" w:name="_Toc104365456"/>
      <w:r>
        <w:rPr>
          <w:rFonts w:hint="eastAsia" w:ascii="黑体" w:hAnsi="黑体" w:eastAsia="黑体" w:cs="黑体"/>
          <w:sz w:val="32"/>
          <w:szCs w:val="40"/>
        </w:rPr>
        <w:t>三、</w:t>
      </w:r>
      <w:bookmarkEnd w:id="55"/>
      <w:r>
        <w:rPr>
          <w:rFonts w:hint="eastAsia" w:ascii="黑体" w:hAnsi="黑体" w:eastAsia="黑体" w:cs="黑体"/>
          <w:sz w:val="32"/>
          <w:szCs w:val="40"/>
        </w:rPr>
        <w:t>培育适应环境资源检察的专业化队伍</w:t>
      </w:r>
      <w:bookmarkEnd w:id="56"/>
      <w:bookmarkEnd w:id="57"/>
    </w:p>
    <w:p>
      <w:pPr>
        <w:ind w:firstLine="643" w:firstLineChars="200"/>
        <w:outlineLvl w:val="2"/>
        <w:rPr>
          <w:rFonts w:ascii="楷体" w:hAnsi="楷体" w:eastAsia="楷体" w:cs="仿宋"/>
          <w:b/>
          <w:sz w:val="32"/>
          <w:szCs w:val="40"/>
        </w:rPr>
      </w:pPr>
      <w:bookmarkStart w:id="58" w:name="_Toc101706804"/>
      <w:r>
        <w:rPr>
          <w:rFonts w:hint="eastAsia" w:ascii="楷体" w:hAnsi="楷体" w:eastAsia="楷体" w:cs="仿宋"/>
          <w:b/>
          <w:sz w:val="32"/>
          <w:szCs w:val="40"/>
        </w:rPr>
        <w:t>（一）强化岗位练兵提高业务素能</w:t>
      </w:r>
      <w:bookmarkEnd w:id="5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环境资源检察专业培训，通过采取“走出去学、请进来教、推上去练、沉下来悟”等方法，开展分级分类专业培训，提升干警业务素能。先后认真组织干警参加上级组织的条线业务培训、视频讲座和业务竞赛；立足实际开展形式多样的业务学习活动，组织法律小课堂，举办各类培训；支持干警参加在职研究生学习；对外邀请最高人民法院、江苏省人民检察院、上海铁路运输检察分院、徐州市人民检察院等业务骨干专题讲授环境资源专业化办案理论与实务问题，干警业务能力得到明显提升。</w:t>
      </w:r>
    </w:p>
    <w:p>
      <w:pPr>
        <w:ind w:firstLine="643" w:firstLineChars="200"/>
        <w:rPr>
          <w:rFonts w:ascii="楷体" w:hAnsi="楷体" w:eastAsia="楷体" w:cs="仿宋"/>
          <w:b/>
          <w:sz w:val="32"/>
          <w:szCs w:val="40"/>
        </w:rPr>
      </w:pPr>
      <w:bookmarkStart w:id="59" w:name="_Toc101706805"/>
      <w:r>
        <w:rPr>
          <w:rFonts w:hint="eastAsia" w:ascii="楷体" w:hAnsi="楷体" w:eastAsia="楷体" w:cs="仿宋"/>
          <w:b/>
          <w:sz w:val="32"/>
          <w:szCs w:val="40"/>
        </w:rPr>
        <w:t>（二）加强理论研究筑牢工作基础</w:t>
      </w:r>
      <w:bookmarkEnd w:id="59"/>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察理论研究是检察工作的重要组成部分，检察工作的创新发展离不开检察理论研究的支撑。本院高度重视检察理论研究工作，积极鼓励干警将办案实践过程中遇到的问题和思考转化为理论成果，更好地服务检察实务，引导司法办案，在全院形成了由院领导带头全员参与理论研究的生动局面。院领导主持申报的《跨行政区划检察改革问题研究》《责任主义视角下确定刑量刑建议的困境与突围》课题均获江苏省人民检察院批准立项。五年来，基于环境资源刑事案件实务，撰写理论文章达40余篇，为办好环境资源刑事案件做足知识和技能储备。</w:t>
      </w:r>
    </w:p>
    <w:p>
      <w:pPr>
        <w:ind w:firstLine="643" w:firstLineChars="200"/>
        <w:rPr>
          <w:rFonts w:ascii="楷体" w:hAnsi="楷体" w:eastAsia="楷体" w:cs="仿宋"/>
          <w:b/>
          <w:sz w:val="32"/>
          <w:szCs w:val="40"/>
        </w:rPr>
      </w:pPr>
      <w:bookmarkStart w:id="60" w:name="_Toc101706806"/>
      <w:r>
        <w:rPr>
          <w:rFonts w:hint="eastAsia" w:ascii="楷体" w:hAnsi="楷体" w:eastAsia="楷体" w:cs="仿宋"/>
          <w:b/>
          <w:sz w:val="32"/>
          <w:szCs w:val="40"/>
        </w:rPr>
        <w:t>（三）锻造</w:t>
      </w:r>
      <w:bookmarkEnd w:id="60"/>
      <w:r>
        <w:rPr>
          <w:rFonts w:hint="eastAsia" w:ascii="楷体" w:hAnsi="楷体" w:eastAsia="楷体" w:cs="仿宋"/>
          <w:b/>
          <w:sz w:val="32"/>
          <w:szCs w:val="40"/>
        </w:rPr>
        <w:t>一流环资检察办案团队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干警撰写的理论文章在《犯罪研究》《山东大学法律评论》《中国检察官》《上海法学研究》等法学核心或知名期刊发表，多篇理论文章在江苏省检察系统、上海市检察系统以及各地法学年会上获得省级以上表彰。先后完成江苏省人民检察院和上海铁路运输检察分院的多项立项课题并获奖。有2名干警入选江苏省检察研究人才库，2名干警入选上海铁路运输检察分院专业化人才库，1人在生态环境部、最高人民检察院、公安部联合组织开展严厉打击危险废物环境违法犯罪和重点排污单位自动监测数据弄虚作假违法犯罪专项行动中，成为全国检察机关50名表现突出个人之一。本院环境资源专业化办案组被省院确定为全省检察机关重点培育专业化办案团队，在江苏省人民检察院举办的全省检察机关办案故事讲述会活动中，环资办案团队讲述的《环资检察探路者》从122个办案团队中脱颖而出，荣获一等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干警的办案能力、业务水平和整体素能在司法办案中得到了新的提升，战斗力大大提高，为新时代检察工作创新发展提供了坚强的队伍保障。</w:t>
      </w:r>
    </w:p>
    <w:p>
      <w:pPr>
        <w:rPr>
          <w:rFonts w:ascii="黑体" w:hAnsi="黑体" w:eastAsia="黑体"/>
          <w:sz w:val="36"/>
          <w:szCs w:val="36"/>
        </w:rPr>
      </w:pPr>
      <w:bookmarkStart w:id="61" w:name="_Toc21045"/>
      <w:bookmarkStart w:id="62" w:name="_Toc104365457"/>
    </w:p>
    <w:p>
      <w:pPr>
        <w:spacing w:before="312" w:beforeLines="100" w:after="312" w:afterLines="100"/>
        <w:jc w:val="center"/>
        <w:outlineLvl w:val="0"/>
        <w:rPr>
          <w:rFonts w:ascii="仿宋_GB2312" w:hAnsi="仿宋_GB2312" w:eastAsia="仿宋_GB2312" w:cs="仿宋_GB2312"/>
          <w:sz w:val="32"/>
          <w:szCs w:val="32"/>
        </w:rPr>
      </w:pPr>
      <w:r>
        <w:rPr>
          <w:rFonts w:hint="eastAsia" w:ascii="黑体" w:hAnsi="黑体" w:eastAsia="黑体"/>
          <w:sz w:val="36"/>
          <w:szCs w:val="36"/>
        </w:rPr>
        <w:t>第三部分 集中管辖检察工作成效</w:t>
      </w:r>
      <w:bookmarkEnd w:id="61"/>
      <w:bookmarkEnd w:id="62"/>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在省院党组的坚强领导下，徐州铁检院</w:t>
      </w:r>
      <w:r>
        <w:rPr>
          <w:rFonts w:ascii="仿宋_GB2312" w:hAnsi="仿宋_GB2312" w:eastAsia="仿宋_GB2312" w:cs="仿宋_GB2312"/>
          <w:sz w:val="32"/>
          <w:szCs w:val="32"/>
        </w:rPr>
        <w:t>坚持以习近平新时代中国特色社会主义思想为指导，</w:t>
      </w:r>
      <w:r>
        <w:rPr>
          <w:rFonts w:hint="eastAsia" w:ascii="仿宋_GB2312" w:hAnsi="仿宋_GB2312" w:eastAsia="仿宋_GB2312" w:cs="仿宋_GB2312"/>
          <w:sz w:val="32"/>
          <w:szCs w:val="32"/>
        </w:rPr>
        <w:t>认真贯彻落实高检院关于跨区划检察改革要求，勇于担当，大胆创新，依托铁检院探索</w:t>
      </w:r>
      <w:r>
        <w:rPr>
          <w:rFonts w:ascii="仿宋_GB2312" w:hAnsi="仿宋_GB2312" w:eastAsia="仿宋_GB2312" w:cs="仿宋_GB2312"/>
          <w:sz w:val="32"/>
          <w:szCs w:val="32"/>
        </w:rPr>
        <w:t>集中管辖徐州市环境资源</w:t>
      </w:r>
      <w:r>
        <w:rPr>
          <w:rFonts w:hint="eastAsia" w:ascii="仿宋_GB2312" w:hAnsi="仿宋_GB2312" w:eastAsia="仿宋_GB2312" w:cs="仿宋_GB2312"/>
          <w:sz w:val="32"/>
          <w:szCs w:val="32"/>
        </w:rPr>
        <w:t>刑事</w:t>
      </w:r>
      <w:r>
        <w:rPr>
          <w:rFonts w:ascii="仿宋_GB2312" w:hAnsi="仿宋_GB2312" w:eastAsia="仿宋_GB2312" w:cs="仿宋_GB2312"/>
          <w:sz w:val="32"/>
          <w:szCs w:val="32"/>
        </w:rPr>
        <w:t>案件</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构建科学合理的跨行政区划检察工作机制，</w:t>
      </w:r>
      <w:r>
        <w:rPr>
          <w:rFonts w:hint="eastAsia" w:ascii="仿宋_GB2312" w:hAnsi="仿宋_GB2312" w:eastAsia="仿宋_GB2312" w:cs="仿宋_GB2312"/>
          <w:sz w:val="32"/>
          <w:szCs w:val="32"/>
        </w:rPr>
        <w:t>提高</w:t>
      </w:r>
      <w:r>
        <w:rPr>
          <w:rFonts w:ascii="仿宋_GB2312" w:hAnsi="仿宋_GB2312" w:eastAsia="仿宋_GB2312" w:cs="仿宋_GB2312"/>
          <w:sz w:val="32"/>
          <w:szCs w:val="32"/>
        </w:rPr>
        <w:t>检察人员专业素能，</w:t>
      </w:r>
      <w:r>
        <w:rPr>
          <w:rFonts w:hint="eastAsia" w:ascii="仿宋_GB2312" w:hAnsi="仿宋_GB2312" w:eastAsia="仿宋_GB2312" w:cs="仿宋_GB2312"/>
          <w:sz w:val="32"/>
          <w:szCs w:val="32"/>
        </w:rPr>
        <w:t>提升</w:t>
      </w:r>
      <w:r>
        <w:rPr>
          <w:rFonts w:ascii="仿宋_GB2312" w:hAnsi="仿宋_GB2312" w:eastAsia="仿宋_GB2312" w:cs="仿宋_GB2312"/>
          <w:sz w:val="32"/>
          <w:szCs w:val="32"/>
        </w:rPr>
        <w:t>司法办案质效，</w:t>
      </w:r>
      <w:r>
        <w:rPr>
          <w:rFonts w:hint="eastAsia" w:ascii="仿宋_GB2312" w:hAnsi="仿宋_GB2312" w:eastAsia="仿宋_GB2312" w:cs="仿宋_GB2312"/>
          <w:sz w:val="32"/>
          <w:szCs w:val="32"/>
        </w:rPr>
        <w:t>走在了全国铁检机关前列。</w:t>
      </w:r>
    </w:p>
    <w:p>
      <w:pPr>
        <w:ind w:firstLine="640" w:firstLineChars="200"/>
        <w:outlineLvl w:val="1"/>
        <w:rPr>
          <w:rFonts w:ascii="黑体" w:hAnsi="黑体" w:eastAsia="黑体" w:cs="黑体"/>
          <w:sz w:val="32"/>
          <w:szCs w:val="40"/>
        </w:rPr>
      </w:pPr>
      <w:bookmarkStart w:id="63" w:name="_Toc8283"/>
      <w:r>
        <w:rPr>
          <w:rFonts w:hint="eastAsia" w:ascii="黑体" w:hAnsi="黑体" w:eastAsia="黑体" w:cs="黑体"/>
          <w:sz w:val="32"/>
          <w:szCs w:val="40"/>
        </w:rPr>
        <w:t>一、打造了跨区划检察改革“江苏样板”</w:t>
      </w:r>
      <w:bookmarkEnd w:id="63"/>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省检察院党组将“建立和完善跨行政区划案件集中办理机制”作为年度重点工作任务，省院党组书记、检察长刘华主持召开专题会议对徐州铁检院集中管辖环境资源刑事案件给予指导，省院机关有关部门以及徐州市人民检察院和徐州市相关司法机关积极支持。成立由检察长任组长的环境资源刑事案件集中管辖工作领导小组，建立环境资源刑事案件专业化办案团队，实行“捕、诉、监、防”一体化办案机制，有利于统一司法标准，有利于增强打击犯罪力度，推动了跨区划检察改革的深入开展。</w:t>
      </w:r>
    </w:p>
    <w:p>
      <w:pPr>
        <w:ind w:firstLine="640" w:firstLineChars="200"/>
        <w:outlineLvl w:val="1"/>
        <w:rPr>
          <w:rFonts w:ascii="黑体" w:hAnsi="黑体" w:eastAsia="黑体" w:cs="黑体"/>
          <w:sz w:val="32"/>
          <w:szCs w:val="40"/>
        </w:rPr>
      </w:pPr>
      <w:bookmarkStart w:id="64" w:name="_Toc6668"/>
      <w:r>
        <w:rPr>
          <w:rFonts w:hint="eastAsia" w:ascii="黑体" w:hAnsi="黑体" w:eastAsia="黑体" w:cs="黑体"/>
          <w:sz w:val="32"/>
          <w:szCs w:val="40"/>
        </w:rPr>
        <w:t>二、提升了铁检院检察贡献度</w:t>
      </w:r>
      <w:bookmarkEnd w:id="64"/>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以检察办案为中心，以求极致的态度办理案件，实现了</w:t>
      </w:r>
      <w:r>
        <w:rPr>
          <w:rFonts w:ascii="仿宋_GB2312" w:hAnsi="仿宋_GB2312" w:eastAsia="仿宋_GB2312" w:cs="仿宋_GB2312"/>
          <w:sz w:val="32"/>
          <w:szCs w:val="32"/>
        </w:rPr>
        <w:t>政治效果、社会效果、法律效果的有机统一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培育和打造</w:t>
      </w:r>
      <w:r>
        <w:rPr>
          <w:rFonts w:hint="eastAsia" w:ascii="仿宋_GB2312" w:hAnsi="仿宋_GB2312" w:eastAsia="仿宋_GB2312" w:cs="仿宋_GB2312"/>
          <w:sz w:val="32"/>
          <w:szCs w:val="32"/>
        </w:rPr>
        <w:t>了</w:t>
      </w:r>
      <w:r>
        <w:rPr>
          <w:rFonts w:ascii="仿宋_GB2312" w:hAnsi="仿宋_GB2312" w:eastAsia="仿宋_GB2312" w:cs="仿宋_GB2312"/>
          <w:sz w:val="32"/>
          <w:szCs w:val="32"/>
        </w:rPr>
        <w:t>一批精品</w:t>
      </w:r>
      <w:r>
        <w:rPr>
          <w:rFonts w:hint="eastAsia" w:ascii="仿宋_GB2312" w:hAnsi="仿宋_GB2312" w:eastAsia="仿宋_GB2312" w:cs="仿宋_GB2312"/>
          <w:sz w:val="32"/>
          <w:szCs w:val="32"/>
        </w:rPr>
        <w:t>名案</w:t>
      </w:r>
      <w:r>
        <w:rPr>
          <w:rFonts w:ascii="仿宋_GB2312" w:hAnsi="仿宋_GB2312" w:eastAsia="仿宋_GB2312" w:cs="仿宋_GB2312"/>
          <w:sz w:val="32"/>
          <w:szCs w:val="32"/>
        </w:rPr>
        <w:t>，形成有徐州铁检特色、在全国</w:t>
      </w:r>
      <w:r>
        <w:rPr>
          <w:rFonts w:hint="eastAsia" w:ascii="仿宋_GB2312" w:hAnsi="仿宋_GB2312" w:eastAsia="仿宋_GB2312" w:cs="仿宋_GB2312"/>
          <w:sz w:val="32"/>
          <w:szCs w:val="32"/>
        </w:rPr>
        <w:t>全省</w:t>
      </w:r>
      <w:r>
        <w:rPr>
          <w:rFonts w:ascii="仿宋_GB2312" w:hAnsi="仿宋_GB2312" w:eastAsia="仿宋_GB2312" w:cs="仿宋_GB2312"/>
          <w:sz w:val="32"/>
          <w:szCs w:val="32"/>
        </w:rPr>
        <w:t>有影响的环境资源检察</w:t>
      </w:r>
      <w:r>
        <w:rPr>
          <w:rFonts w:hint="eastAsia" w:ascii="仿宋_GB2312" w:hAnsi="仿宋_GB2312" w:eastAsia="仿宋_GB2312" w:cs="仿宋_GB2312"/>
          <w:sz w:val="32"/>
          <w:szCs w:val="32"/>
        </w:rPr>
        <w:t>名案。“费氏牡丹鹦鹉案”在今年全国“两会”期间受到代表委员热议，张军检察长在全国检察机关学习贯彻全国“两会”精神会议上给予表扬。“海龟案”和“费氏牡丹鹦鹉案”被写入省检察院2021年度工作报告。“海龟案”被评为全省检察机关“十三五”时期在全国有重要影响的检察名案。1个非法采矿案例被评为省院公告案例，1个</w:t>
      </w:r>
      <w:r>
        <w:rPr>
          <w:rFonts w:ascii="仿宋_GB2312" w:hAnsi="仿宋_GB2312" w:eastAsia="仿宋_GB2312" w:cs="仿宋_GB2312"/>
          <w:sz w:val="32"/>
          <w:szCs w:val="32"/>
        </w:rPr>
        <w:t>案例获评江苏省认罪认罚从宽制度</w:t>
      </w:r>
      <w:r>
        <w:rPr>
          <w:rFonts w:hint="eastAsia" w:ascii="仿宋_GB2312" w:hAnsi="仿宋_GB2312" w:eastAsia="仿宋_GB2312" w:cs="仿宋_GB2312"/>
          <w:sz w:val="32"/>
          <w:szCs w:val="32"/>
        </w:rPr>
        <w:t>指导</w:t>
      </w:r>
      <w:r>
        <w:rPr>
          <w:rFonts w:ascii="仿宋_GB2312" w:hAnsi="仿宋_GB2312" w:eastAsia="仿宋_GB2312" w:cs="仿宋_GB2312"/>
          <w:sz w:val="32"/>
          <w:szCs w:val="32"/>
        </w:rPr>
        <w:t>案例</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个案例获评江苏省</w:t>
      </w:r>
      <w:r>
        <w:rPr>
          <w:rFonts w:hint="eastAsia" w:ascii="仿宋_GB2312" w:hAnsi="仿宋_GB2312" w:eastAsia="仿宋_GB2312" w:cs="仿宋_GB2312"/>
          <w:sz w:val="32"/>
          <w:szCs w:val="32"/>
        </w:rPr>
        <w:t>检察机关</w:t>
      </w:r>
      <w:r>
        <w:rPr>
          <w:rFonts w:ascii="仿宋_GB2312" w:hAnsi="仿宋_GB2312" w:eastAsia="仿宋_GB2312" w:cs="仿宋_GB2312"/>
          <w:sz w:val="32"/>
          <w:szCs w:val="32"/>
        </w:rPr>
        <w:t>环境资源典型案例</w:t>
      </w:r>
      <w:r>
        <w:rPr>
          <w:rFonts w:hint="eastAsia" w:ascii="仿宋_GB2312" w:hAnsi="仿宋_GB2312" w:eastAsia="仿宋_GB2312" w:cs="仿宋_GB2312"/>
          <w:sz w:val="32"/>
          <w:szCs w:val="32"/>
        </w:rPr>
        <w:t>。</w:t>
      </w:r>
    </w:p>
    <w:p>
      <w:pPr>
        <w:ind w:firstLine="640" w:firstLineChars="200"/>
        <w:outlineLvl w:val="1"/>
        <w:rPr>
          <w:rFonts w:ascii="黑体" w:hAnsi="黑体" w:eastAsia="黑体" w:cs="黑体"/>
          <w:sz w:val="32"/>
          <w:szCs w:val="40"/>
        </w:rPr>
      </w:pPr>
      <w:bookmarkStart w:id="65" w:name="_Toc26301"/>
      <w:r>
        <w:rPr>
          <w:rFonts w:hint="eastAsia" w:ascii="黑体" w:hAnsi="黑体" w:eastAsia="黑体" w:cs="黑体"/>
          <w:sz w:val="32"/>
          <w:szCs w:val="40"/>
        </w:rPr>
        <w:t>三、锻造了专业化办案团队</w:t>
      </w:r>
      <w:bookmarkEnd w:id="65"/>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以集中管辖徐州市环境资源类刑事案件为契机，将政治建设与业务建设有机融合，教育整顿工作得到中央第六督导组乔传秀组长充分肯定。始终将专业化能力建设摆上重要位置，通过开展分级分类专业培训，</w:t>
      </w:r>
      <w:r>
        <w:rPr>
          <w:rFonts w:ascii="仿宋_GB2312" w:hAnsi="仿宋_GB2312" w:eastAsia="仿宋_GB2312" w:cs="仿宋_GB2312"/>
          <w:sz w:val="32"/>
          <w:szCs w:val="32"/>
        </w:rPr>
        <w:t>在实训实战中提升检察人员专业素质能力</w:t>
      </w:r>
      <w:r>
        <w:rPr>
          <w:rFonts w:hint="eastAsia" w:ascii="仿宋_GB2312" w:hAnsi="仿宋_GB2312" w:eastAsia="仿宋_GB2312" w:cs="仿宋_GB2312"/>
          <w:sz w:val="32"/>
          <w:szCs w:val="32"/>
        </w:rPr>
        <w:t>。1人</w:t>
      </w:r>
      <w:r>
        <w:rPr>
          <w:rFonts w:ascii="仿宋_GB2312" w:hAnsi="仿宋_GB2312" w:eastAsia="仿宋_GB2312" w:cs="仿宋_GB2312"/>
          <w:sz w:val="32"/>
          <w:szCs w:val="32"/>
        </w:rPr>
        <w:t>入选首批江苏省检察机关领军人才，被评为“新时代优秀检察官”</w:t>
      </w:r>
      <w:r>
        <w:rPr>
          <w:rFonts w:hint="eastAsia" w:ascii="仿宋_GB2312" w:hAnsi="仿宋_GB2312" w:eastAsia="仿宋_GB2312" w:cs="仿宋_GB2312"/>
          <w:sz w:val="32"/>
          <w:szCs w:val="32"/>
        </w:rPr>
        <w:t>，2人被评为省级优秀侦查监督能手、优秀公诉人，10余人次被评为全省检察机关“守正有为检察人”“优秀第一书记”“优秀共产党员”等荣誉称号。环境资源办案组被省检察院列为全省检察机关重点培育专业化办案团队，在全省检察机关“守望正义，检徽闪耀”办案故事讲述中获一等奖。</w:t>
      </w:r>
      <w:bookmarkStart w:id="66" w:name="_Toc24779"/>
      <w:bookmarkStart w:id="67" w:name="_Toc101706807"/>
      <w:bookmarkStart w:id="68" w:name="_Toc104365458"/>
    </w:p>
    <w:p>
      <w:pPr>
        <w:spacing w:before="312" w:beforeLines="100" w:after="312" w:afterLines="100"/>
        <w:jc w:val="center"/>
        <w:outlineLvl w:val="0"/>
        <w:rPr>
          <w:rFonts w:ascii="黑体" w:hAnsi="黑体" w:eastAsia="黑体"/>
          <w:sz w:val="36"/>
          <w:szCs w:val="36"/>
        </w:rPr>
      </w:pPr>
      <w:r>
        <w:rPr>
          <w:rFonts w:hint="eastAsia" w:ascii="黑体" w:hAnsi="黑体" w:eastAsia="黑体"/>
          <w:sz w:val="36"/>
          <w:szCs w:val="36"/>
        </w:rPr>
        <w:t>第四部分 工作展望与发展方向</w:t>
      </w:r>
      <w:bookmarkEnd w:id="66"/>
      <w:bookmarkEnd w:id="67"/>
      <w:bookmarkEnd w:id="68"/>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年来，我们立足新时代检察职能，准确把握环境资源检察新形势、新要求，注重系统思维，坚持打击与治理并重，助力生态文明建设，取得一定成效。下一步，我们将在江苏省人民检察院领导和徐州市人民检察院指导下，紧紧围绕服务保障党的二十大胜利召开这条主线，以坚决维护国家政治安全和社会大局稳定为首要政治任务，以抓实“质量建设年”全面提升监督办案质效为目标，持续深化落实中共中央《关于加强新时代检察机关法律监督工作的意见》，以“小院也有大作为”的情怀和使命，为江苏检察高质量发展做出徐州铁检院的新贡献。</w:t>
      </w:r>
      <w:r>
        <w:rPr>
          <w:rFonts w:hint="eastAsia" w:ascii="仿宋_GB2312" w:hAnsi="仿宋_GB2312" w:eastAsia="仿宋_GB2312" w:cs="仿宋_GB2312"/>
          <w:b/>
          <w:sz w:val="32"/>
          <w:szCs w:val="32"/>
        </w:rPr>
        <w:t>一是深入贯彻习近平生态文明思想。</w:t>
      </w:r>
      <w:r>
        <w:rPr>
          <w:rFonts w:hint="eastAsia" w:ascii="仿宋_GB2312" w:hAnsi="仿宋_GB2312" w:eastAsia="仿宋_GB2312" w:cs="仿宋_GB2312"/>
          <w:sz w:val="32"/>
          <w:szCs w:val="32"/>
        </w:rPr>
        <w:t>生态文明建设进入了以降碳为重点战略方向的关键时期，作为集中管辖环境资源刑事案件的专门检察机关，主动融入国家发展大局，发挥好检察职能作用，推进加大生态环境司法保护力度，努力为推动绿色低碳转型、促进社会高质量发展贡献检察力量。</w:t>
      </w:r>
      <w:r>
        <w:rPr>
          <w:rFonts w:hint="eastAsia" w:ascii="仿宋_GB2312" w:hAnsi="仿宋_GB2312" w:eastAsia="仿宋_GB2312" w:cs="仿宋_GB2312"/>
          <w:b/>
          <w:sz w:val="32"/>
          <w:szCs w:val="32"/>
        </w:rPr>
        <w:t>二是坚持依法能动履职，为民司法。</w:t>
      </w:r>
      <w:r>
        <w:rPr>
          <w:rFonts w:hint="eastAsia" w:ascii="仿宋_GB2312" w:hAnsi="仿宋_GB2312" w:eastAsia="仿宋_GB2312" w:cs="仿宋_GB2312"/>
          <w:sz w:val="32"/>
          <w:szCs w:val="32"/>
        </w:rPr>
        <w:t>以“努力让人民群众在每一个司法案件中感受到公平正义”为目标，坚持“检护生态”，坚持“专业化监督+恢复性司法+社会化治理”生态检察模式，让人民群众在每一件环境资源刑事案件办理中感受到生态绿和幸福蓝。把解决群众身边的生态环境问题作为“我为群众办实事”实践活动的重要内容，促进打造“天蓝、水净、地绿、山青”的宜居环境。</w:t>
      </w:r>
      <w:r>
        <w:rPr>
          <w:rFonts w:hint="eastAsia" w:ascii="仿宋_GB2312" w:hAnsi="仿宋_GB2312" w:eastAsia="仿宋_GB2312" w:cs="仿宋_GB2312"/>
          <w:b/>
          <w:sz w:val="32"/>
          <w:szCs w:val="32"/>
        </w:rPr>
        <w:t>三是强化系统思维，注重诉源治理。</w:t>
      </w:r>
      <w:r>
        <w:rPr>
          <w:rFonts w:hint="eastAsia" w:ascii="仿宋_GB2312" w:hAnsi="仿宋_GB2312" w:eastAsia="仿宋_GB2312" w:cs="仿宋_GB2312"/>
          <w:sz w:val="32"/>
          <w:szCs w:val="32"/>
        </w:rPr>
        <w:t>在加强环境资源刑事案件类型研究的基础上，充分研判保护生态环境资源面临的复杂严峻形势，结合司法案件办理发现社会治理类问题，提出对策建议，促进</w:t>
      </w:r>
      <w:r>
        <w:rPr>
          <w:rFonts w:ascii="仿宋_GB2312" w:hAnsi="仿宋_GB2312" w:eastAsia="仿宋_GB2312" w:cs="仿宋_GB2312"/>
          <w:sz w:val="32"/>
          <w:szCs w:val="32"/>
        </w:rPr>
        <w:t>综合治理、系统治理、源头治理</w:t>
      </w:r>
      <w:r>
        <w:rPr>
          <w:rFonts w:hint="eastAsia" w:ascii="仿宋_GB2312" w:hAnsi="仿宋_GB2312" w:eastAsia="仿宋_GB2312" w:cs="仿宋_GB2312"/>
          <w:sz w:val="32"/>
          <w:szCs w:val="32"/>
        </w:rPr>
        <w:t>。</w:t>
      </w:r>
    </w:p>
    <w:p>
      <w:pPr>
        <w:rPr>
          <w:rFonts w:ascii="黑体" w:hAnsi="黑体" w:eastAsia="黑体"/>
          <w:b/>
          <w:sz w:val="36"/>
          <w:szCs w:val="36"/>
        </w:rPr>
      </w:pPr>
      <w:bookmarkStart w:id="69" w:name="_Toc101706808"/>
    </w:p>
    <w:p>
      <w:pPr>
        <w:spacing w:before="312" w:beforeLines="100" w:after="312" w:afterLines="100"/>
        <w:jc w:val="center"/>
        <w:outlineLvl w:val="0"/>
        <w:rPr>
          <w:rFonts w:ascii="黑体" w:hAnsi="黑体" w:eastAsia="黑体"/>
          <w:sz w:val="36"/>
          <w:szCs w:val="36"/>
        </w:rPr>
      </w:pPr>
      <w:bookmarkStart w:id="70" w:name="_Toc104365459"/>
      <w:bookmarkStart w:id="71" w:name="_Toc27115"/>
      <w:r>
        <w:rPr>
          <w:rFonts w:hint="eastAsia" w:ascii="黑体" w:hAnsi="黑体" w:eastAsia="黑体"/>
          <w:sz w:val="36"/>
          <w:szCs w:val="36"/>
        </w:rPr>
        <w:t xml:space="preserve">第五部分 </w:t>
      </w:r>
      <w:bookmarkEnd w:id="69"/>
      <w:r>
        <w:rPr>
          <w:rFonts w:hint="eastAsia" w:ascii="黑体" w:hAnsi="黑体" w:eastAsia="黑体"/>
          <w:sz w:val="36"/>
          <w:szCs w:val="36"/>
        </w:rPr>
        <w:t>典型案例</w:t>
      </w:r>
      <w:bookmarkEnd w:id="70"/>
      <w:bookmarkEnd w:id="71"/>
    </w:p>
    <w:p>
      <w:pPr>
        <w:ind w:firstLine="640" w:firstLineChars="200"/>
        <w:outlineLvl w:val="1"/>
        <w:rPr>
          <w:rFonts w:ascii="黑体" w:hAnsi="黑体" w:eastAsia="黑体" w:cs="黑体"/>
          <w:sz w:val="32"/>
          <w:szCs w:val="40"/>
        </w:rPr>
      </w:pPr>
      <w:bookmarkStart w:id="72" w:name="_Toc104365460"/>
      <w:bookmarkStart w:id="73" w:name="_Toc24991"/>
      <w:bookmarkStart w:id="74" w:name="_Toc101706810"/>
      <w:r>
        <w:rPr>
          <w:rFonts w:hint="eastAsia" w:ascii="黑体" w:hAnsi="黑体" w:eastAsia="黑体" w:cs="黑体"/>
          <w:sz w:val="32"/>
          <w:szCs w:val="40"/>
        </w:rPr>
        <w:t>一、周某某等8人非法采矿、掩饰、隐瞒犯罪所得案</w:t>
      </w:r>
      <w:bookmarkEnd w:id="72"/>
      <w:bookmarkEnd w:id="73"/>
      <w:bookmarkEnd w:id="74"/>
    </w:p>
    <w:p>
      <w:pPr>
        <w:widowControl/>
        <w:jc w:val="left"/>
        <w:rPr>
          <w:rFonts w:ascii="楷体" w:hAnsi="楷体" w:eastAsia="楷体" w:cs="仿宋"/>
          <w:b/>
          <w:kern w:val="0"/>
          <w:sz w:val="32"/>
          <w:szCs w:val="32"/>
        </w:rPr>
      </w:pPr>
      <w:r>
        <w:rPr>
          <w:rFonts w:hint="eastAsia" w:ascii="楷体" w:hAnsi="楷体" w:eastAsia="楷体" w:cs="仿宋"/>
          <w:b/>
          <w:kern w:val="0"/>
          <w:sz w:val="32"/>
          <w:szCs w:val="32"/>
        </w:rPr>
        <w:t>【基本案情】</w:t>
      </w:r>
    </w:p>
    <w:p>
      <w:pPr>
        <w:widowControl/>
        <w:ind w:firstLine="640" w:firstLineChars="200"/>
        <w:rPr>
          <w:rFonts w:ascii="仿宋_GB2312" w:hAnsi="仿宋" w:eastAsia="仿宋_GB2312" w:cs="仿宋"/>
          <w:kern w:val="0"/>
          <w:sz w:val="15"/>
          <w:szCs w:val="15"/>
        </w:rPr>
      </w:pPr>
      <w:r>
        <w:rPr>
          <w:rFonts w:hint="eastAsia" w:ascii="仿宋_GB2312" w:hAnsi="仿宋" w:eastAsia="仿宋_GB2312" w:cs="仿宋"/>
          <w:kern w:val="0"/>
          <w:sz w:val="32"/>
          <w:szCs w:val="32"/>
        </w:rPr>
        <w:t>被告人周某某，男，徐州市某区某镇原信访办副主任。</w:t>
      </w:r>
    </w:p>
    <w:p>
      <w:pPr>
        <w:widowControl/>
        <w:ind w:firstLine="640" w:firstLineChars="200"/>
        <w:rPr>
          <w:rFonts w:ascii="仿宋_GB2312" w:hAnsi="仿宋" w:eastAsia="仿宋_GB2312" w:cs="仿宋"/>
          <w:kern w:val="0"/>
          <w:sz w:val="15"/>
          <w:szCs w:val="15"/>
        </w:rPr>
      </w:pPr>
      <w:r>
        <w:rPr>
          <w:rFonts w:hint="eastAsia" w:ascii="仿宋_GB2312" w:hAnsi="仿宋" w:eastAsia="仿宋_GB2312" w:cs="仿宋"/>
          <w:kern w:val="0"/>
          <w:sz w:val="32"/>
          <w:szCs w:val="32"/>
        </w:rPr>
        <w:t>被告人张某某，男，个体经营户。</w:t>
      </w:r>
    </w:p>
    <w:p>
      <w:pPr>
        <w:widowControl/>
        <w:ind w:firstLine="640" w:firstLineChars="200"/>
        <w:rPr>
          <w:rFonts w:ascii="仿宋_GB2312" w:hAnsi="仿宋" w:eastAsia="仿宋_GB2312" w:cs="仿宋"/>
          <w:kern w:val="0"/>
          <w:sz w:val="15"/>
          <w:szCs w:val="15"/>
        </w:rPr>
      </w:pPr>
      <w:r>
        <w:rPr>
          <w:rFonts w:hint="eastAsia" w:ascii="仿宋_GB2312" w:hAnsi="仿宋" w:eastAsia="仿宋_GB2312" w:cs="仿宋"/>
          <w:kern w:val="0"/>
          <w:sz w:val="32"/>
          <w:szCs w:val="32"/>
        </w:rPr>
        <w:t>其他6名被告人基本情况略。</w:t>
      </w:r>
    </w:p>
    <w:p>
      <w:pPr>
        <w:widowControl/>
        <w:ind w:firstLine="640" w:firstLineChars="200"/>
        <w:rPr>
          <w:rFonts w:ascii="仿宋_GB2312" w:hAnsi="仿宋" w:eastAsia="仿宋_GB2312" w:cs="仿宋"/>
          <w:kern w:val="0"/>
          <w:sz w:val="15"/>
          <w:szCs w:val="15"/>
        </w:rPr>
      </w:pPr>
      <w:r>
        <w:rPr>
          <w:rFonts w:hint="eastAsia" w:ascii="仿宋_GB2312" w:hAnsi="仿宋" w:eastAsia="仿宋_GB2312" w:cs="仿宋"/>
          <w:kern w:val="0"/>
          <w:sz w:val="32"/>
          <w:szCs w:val="32"/>
        </w:rPr>
        <w:t xml:space="preserve">2017年1月至2018年3月期间，被告人周某某通过购买、借用其他公司资质、合伙入股等方式，参与徐州市某区某镇的部分土地复垦工程，以及蓄水塘坝治理工程。在周某某等人施工前，国土部门明确告知，施工过程中产生的矿石不允许外运销售，工程施工方案、委托协议也载明该项内容。后周某某等人为牟取利益，在未取得采矿许可证的情况下，以工程施工名义，组织他人通过挖掘机采凿、炸药爆破的方式，开采灰岩矿石40余万吨，价值1490余万元。被告人张某某等人明知矿石系周某某等人盗采，仍向其收购10余万元的矿石。 </w:t>
      </w:r>
    </w:p>
    <w:p>
      <w:pPr>
        <w:widowControl/>
        <w:jc w:val="left"/>
        <w:rPr>
          <w:rFonts w:ascii="楷体" w:hAnsi="楷体" w:eastAsia="楷体" w:cs="仿宋"/>
          <w:b/>
          <w:kern w:val="0"/>
          <w:sz w:val="32"/>
          <w:szCs w:val="32"/>
        </w:rPr>
      </w:pPr>
      <w:r>
        <w:rPr>
          <w:rFonts w:hint="eastAsia" w:ascii="楷体" w:hAnsi="楷体" w:eastAsia="楷体" w:cs="仿宋"/>
          <w:b/>
          <w:kern w:val="0"/>
          <w:sz w:val="32"/>
          <w:szCs w:val="32"/>
        </w:rPr>
        <w:t>【检察履职情况】</w:t>
      </w:r>
    </w:p>
    <w:p>
      <w:pPr>
        <w:widowControl/>
        <w:ind w:firstLine="640" w:firstLineChars="200"/>
        <w:rPr>
          <w:rFonts w:ascii="仿宋_GB2312" w:hAnsi="仿宋" w:eastAsia="仿宋_GB2312" w:cs="仿宋"/>
          <w:kern w:val="0"/>
          <w:sz w:val="15"/>
          <w:szCs w:val="15"/>
        </w:rPr>
      </w:pPr>
      <w:r>
        <w:rPr>
          <w:rFonts w:hint="eastAsia" w:ascii="仿宋_GB2312" w:hAnsi="仿宋" w:eastAsia="仿宋_GB2312" w:cs="仿宋"/>
          <w:kern w:val="0"/>
          <w:sz w:val="32"/>
          <w:szCs w:val="32"/>
        </w:rPr>
        <w:t>本案系徐州市铜山区公安局在侦办某涉黑恶犯罪案件时发现。2018年9月18日至10月10日，铜山区公安局对周某某等人涉嫌非法采矿、掩饰、隐瞒犯罪所得罪立案侦查。</w:t>
      </w:r>
    </w:p>
    <w:p>
      <w:pPr>
        <w:widowControl/>
        <w:ind w:firstLine="643" w:firstLineChars="200"/>
        <w:rPr>
          <w:rFonts w:ascii="仿宋_GB2312" w:hAnsi="仿宋" w:eastAsia="仿宋_GB2312" w:cs="仿宋"/>
          <w:kern w:val="0"/>
          <w:sz w:val="15"/>
          <w:szCs w:val="15"/>
        </w:rPr>
      </w:pPr>
      <w:r>
        <w:rPr>
          <w:rFonts w:hint="eastAsia" w:ascii="仿宋_GB2312" w:hAnsi="仿宋" w:eastAsia="仿宋_GB2312" w:cs="仿宋"/>
          <w:b/>
          <w:bCs/>
          <w:kern w:val="0"/>
          <w:sz w:val="32"/>
          <w:szCs w:val="32"/>
        </w:rPr>
        <w:t>提前介入。</w:t>
      </w:r>
      <w:r>
        <w:rPr>
          <w:rFonts w:hint="eastAsia" w:ascii="仿宋_GB2312" w:hAnsi="仿宋" w:eastAsia="仿宋_GB2312" w:cs="仿宋"/>
          <w:kern w:val="0"/>
          <w:sz w:val="32"/>
          <w:szCs w:val="32"/>
        </w:rPr>
        <w:t>侦查阶段，公安机关对本案中的土地复垦与采矿相互交织的行为是否构成犯罪，以及侦查取证方向、取证重点内容存在较大困惑和争议。2018年10月，徐州铁路运输检察院多次派员提前介入引导侦查，提出如下取证意见：1.调取涉案工程施工的立项、招投标施工方案、委托协议等书证，查明施工内容是否包括销售工程余量矿石。2.调取国土部门对该工程项目的巡查、处罚记录，以及施工现场的视频、照片，证实周某某等人是否具有非法采矿的主观故意和违法性认识。3.全面梳理从周某某处查获的账本、过磅单等书证，委托鉴定机构对销售数量和价值进行鉴定，查明犯罪数额。</w:t>
      </w:r>
    </w:p>
    <w:p>
      <w:pPr>
        <w:widowControl/>
        <w:ind w:firstLine="643" w:firstLineChars="200"/>
        <w:rPr>
          <w:rFonts w:ascii="仿宋_GB2312" w:hAnsi="仿宋" w:eastAsia="仿宋_GB2312" w:cs="仿宋"/>
          <w:kern w:val="0"/>
          <w:sz w:val="15"/>
          <w:szCs w:val="15"/>
        </w:rPr>
      </w:pPr>
      <w:r>
        <w:rPr>
          <w:rFonts w:hint="eastAsia" w:ascii="仿宋_GB2312" w:hAnsi="仿宋" w:eastAsia="仿宋_GB2312" w:cs="仿宋"/>
          <w:b/>
          <w:bCs/>
          <w:kern w:val="0"/>
          <w:sz w:val="32"/>
          <w:szCs w:val="32"/>
        </w:rPr>
        <w:t>审查起诉阶段。</w:t>
      </w:r>
      <w:r>
        <w:rPr>
          <w:rFonts w:hint="eastAsia" w:ascii="仿宋_GB2312" w:hAnsi="仿宋" w:eastAsia="仿宋_GB2312" w:cs="仿宋"/>
          <w:kern w:val="0"/>
          <w:sz w:val="32"/>
          <w:szCs w:val="32"/>
        </w:rPr>
        <w:t>2019年3月29日、6月2日，公安机关对周某某等8人涉嫌非法采矿、掩饰、隐瞒犯罪所得罪移送检察机关审查起诉。期间，周某某等人提出以下辩解：1.已取得合法工程施工权，开采矿石属于工程施工内容，不属于非法采矿行为。2.经镇政府同意后销售矿石，没有违法性。3.公安机关认定的矿石开采及销售数量过多。</w:t>
      </w:r>
    </w:p>
    <w:p>
      <w:pPr>
        <w:widowControl/>
        <w:ind w:firstLine="640" w:firstLineChars="200"/>
        <w:rPr>
          <w:rFonts w:ascii="仿宋_GB2312" w:hAnsi="仿宋" w:eastAsia="仿宋_GB2312" w:cs="仿宋"/>
          <w:kern w:val="0"/>
          <w:sz w:val="15"/>
          <w:szCs w:val="15"/>
        </w:rPr>
      </w:pPr>
      <w:r>
        <w:rPr>
          <w:rFonts w:hint="eastAsia" w:ascii="仿宋_GB2312" w:hAnsi="仿宋" w:eastAsia="仿宋_GB2312" w:cs="仿宋"/>
          <w:kern w:val="0"/>
          <w:sz w:val="32"/>
          <w:szCs w:val="32"/>
        </w:rPr>
        <w:t>检察机关审查认为：第一，取得工程施工权不影响非法采矿行为的认定。承办检察官多次走访国土部门，了解土地复垦相关规定，全面审查施工方案、国土部门委托镇政府组织施工的委托协议等书证，查明土地复垦等工程中产生的矿石只能回填，不得外运销售。周某某等人在仅有承揽工程施工权而无矿石开采销售许可的情况下，开采、销售矿石的行为，系非法采矿。第二，属地镇政府相关人员对盗采行为的默许，不阻却行为人的违法责任。承办检察官多次到镇政府、国土部门调查取证，重点审查国土部门巡查工程施工的记录、行政处罚决定书、施工现场的视频、照片等客观证据，查明周某某等人施工的实质内容仅是开采矿石销售，并未实施复垦、塘坝治理等行为，且已被主管部门多次口头警告或书面行政处罚。因此，即使属地镇政府对周某某等人开采销售矿石的行为存在一定程度的默许，也不影响周某某等人对其行为违法性的认识。第三，重复计算的犯罪数额应当予以核减。检察机关查明，鉴定机构存在重复计算矿石销售数量的问题。经对上千张书证逐一核对计算，去除重复及争议的50余万元，最终认定全案犯罪数额为1490余万元。此外，检察机关在调查核实基础上，多次提审周某某等犯罪嫌疑人，通过释法说理、证据开示，最终促成全案8人认罪认罚。</w:t>
      </w:r>
    </w:p>
    <w:p>
      <w:pPr>
        <w:widowControl/>
        <w:ind w:firstLine="640" w:firstLineChars="200"/>
        <w:rPr>
          <w:rFonts w:ascii="仿宋_GB2312" w:hAnsi="仿宋" w:eastAsia="仿宋_GB2312" w:cs="仿宋"/>
          <w:kern w:val="0"/>
          <w:sz w:val="15"/>
          <w:szCs w:val="15"/>
        </w:rPr>
      </w:pPr>
      <w:r>
        <w:rPr>
          <w:rFonts w:hint="eastAsia" w:ascii="仿宋_GB2312" w:hAnsi="仿宋" w:eastAsia="仿宋_GB2312" w:cs="仿宋"/>
          <w:kern w:val="0"/>
          <w:sz w:val="32"/>
          <w:szCs w:val="32"/>
        </w:rPr>
        <w:t>2019年9月29日，检察机关以周某某等人涉嫌非法采矿罪、掩饰、隐瞒犯罪所得罪向徐州铁路运输法院提起公诉。</w:t>
      </w:r>
    </w:p>
    <w:p>
      <w:pPr>
        <w:widowControl/>
        <w:ind w:firstLine="643" w:firstLineChars="200"/>
        <w:rPr>
          <w:rFonts w:ascii="仿宋_GB2312" w:hAnsi="仿宋" w:eastAsia="仿宋_GB2312" w:cs="仿宋"/>
          <w:kern w:val="0"/>
          <w:sz w:val="15"/>
          <w:szCs w:val="15"/>
        </w:rPr>
      </w:pPr>
      <w:r>
        <w:rPr>
          <w:rFonts w:hint="eastAsia" w:ascii="仿宋_GB2312" w:hAnsi="仿宋" w:eastAsia="仿宋_GB2312" w:cs="仿宋"/>
          <w:b/>
          <w:bCs/>
          <w:kern w:val="0"/>
          <w:sz w:val="32"/>
          <w:szCs w:val="32"/>
        </w:rPr>
        <w:t>法庭审理阶段。</w:t>
      </w:r>
      <w:r>
        <w:rPr>
          <w:rFonts w:hint="eastAsia" w:ascii="仿宋_GB2312" w:hAnsi="仿宋" w:eastAsia="仿宋_GB2312" w:cs="仿宋"/>
          <w:kern w:val="0"/>
          <w:sz w:val="32"/>
          <w:szCs w:val="32"/>
        </w:rPr>
        <w:t>2020年8月5日，法院公开开庭审理本案，各被告人均对检察机关的指控不持异议。2020年9月8日，法院以非法采矿罪判处被告人周某某有期徒刑四年九个月，并处罚金五十万元，判处其他5名被告人有期徒刑一年六个月至二年不等，并处罚金五万元；以掩饰、隐瞒犯罪所得罪判处被告人张某某等2人有期徒刑一年二个月至九个月不等，并处罚金五万元至三万元，部分适用缓刑。所有被告人在违法所得的范围内承担退赔责任，环境修复费用依法上缴国库。</w:t>
      </w:r>
    </w:p>
    <w:p>
      <w:pPr>
        <w:widowControl/>
        <w:ind w:firstLine="643" w:firstLineChars="200"/>
        <w:rPr>
          <w:rFonts w:ascii="仿宋_GB2312" w:hAnsi="仿宋" w:eastAsia="仿宋_GB2312" w:cs="仿宋"/>
          <w:kern w:val="0"/>
          <w:sz w:val="15"/>
          <w:szCs w:val="15"/>
        </w:rPr>
      </w:pPr>
      <w:r>
        <w:rPr>
          <w:rFonts w:hint="eastAsia" w:ascii="仿宋_GB2312" w:hAnsi="仿宋" w:eastAsia="仿宋_GB2312" w:cs="仿宋"/>
          <w:b/>
          <w:bCs/>
          <w:kern w:val="0"/>
          <w:sz w:val="32"/>
          <w:szCs w:val="32"/>
        </w:rPr>
        <w:t>参与综合治理。</w:t>
      </w:r>
      <w:r>
        <w:rPr>
          <w:rFonts w:hint="eastAsia" w:ascii="仿宋_GB2312" w:hAnsi="仿宋" w:eastAsia="仿宋_GB2312" w:cs="仿宋"/>
          <w:kern w:val="0"/>
          <w:sz w:val="32"/>
          <w:szCs w:val="32"/>
        </w:rPr>
        <w:t>2020年12月18日，检察机关针对办案中发现的行政主管部门对矿石开采监管缺失、镇政府乱作为等问题，向区政府发出检察建议，建议加强行政监管、加大执法力度、开展系统整治。接到检察建议后，区政府围绕矿产资源保护，开展了区镇村三级专项整治，投入400余万元专项资金，加强盗采技防措施，提高相关部门的监管能力，该地区盗采现象大幅降低。</w:t>
      </w:r>
    </w:p>
    <w:p>
      <w:pPr>
        <w:widowControl/>
        <w:jc w:val="left"/>
        <w:rPr>
          <w:rFonts w:ascii="楷体" w:hAnsi="楷体" w:eastAsia="楷体" w:cs="仿宋"/>
          <w:b/>
          <w:kern w:val="0"/>
          <w:sz w:val="32"/>
          <w:szCs w:val="32"/>
        </w:rPr>
      </w:pPr>
      <w:r>
        <w:rPr>
          <w:rFonts w:hint="eastAsia" w:ascii="楷体" w:hAnsi="楷体" w:eastAsia="楷体" w:cs="仿宋"/>
          <w:b/>
          <w:kern w:val="0"/>
          <w:sz w:val="32"/>
          <w:szCs w:val="32"/>
        </w:rPr>
        <w:t>【典型意义】</w:t>
      </w:r>
    </w:p>
    <w:p>
      <w:pPr>
        <w:widowControl/>
        <w:ind w:firstLine="643" w:firstLineChars="200"/>
        <w:rPr>
          <w:rFonts w:ascii="仿宋_GB2312" w:hAnsi="仿宋" w:eastAsia="仿宋_GB2312" w:cs="仿宋"/>
          <w:kern w:val="0"/>
          <w:sz w:val="15"/>
          <w:szCs w:val="15"/>
        </w:rPr>
      </w:pPr>
      <w:r>
        <w:rPr>
          <w:rFonts w:hint="eastAsia" w:ascii="仿宋_GB2312" w:hAnsi="仿宋" w:eastAsia="仿宋_GB2312" w:cs="仿宋"/>
          <w:b/>
          <w:bCs/>
          <w:kern w:val="0"/>
          <w:sz w:val="32"/>
          <w:szCs w:val="32"/>
        </w:rPr>
        <w:t>（一）行为人未取得采矿许可证，假借合法工程名义，开采、销售施工过程中产生的矿石，情节严重的，构成非法采矿罪。</w:t>
      </w:r>
      <w:r>
        <w:rPr>
          <w:rFonts w:hint="eastAsia" w:ascii="仿宋_GB2312" w:hAnsi="仿宋" w:eastAsia="仿宋_GB2312" w:cs="仿宋"/>
          <w:kern w:val="0"/>
          <w:sz w:val="32"/>
          <w:szCs w:val="32"/>
        </w:rPr>
        <w:t>矿产资源属于国家所有。国家对矿产资源的开采、利用采取依法许可制度，以授权县级以上地质矿产主管部门颁发采矿许可证的形式进行管理，禁止任何组织或者个人用任何手段侵占或者破坏矿产资源。对未取得采矿许可擅自采矿，情节严重的，以非法采矿罪追究刑事责任。本案中，周某某等人通过招投标等方式，承揽乡镇政府发包的土地复垦等工程，虽取得了工程施工权，但并未取得矿石的开采权和销售权。因工程施工需要开采的矿石，必须用于项目回填或交由主管部门处理，擅自开采并销售，情节严重的，构成非法采矿罪。</w:t>
      </w:r>
    </w:p>
    <w:p>
      <w:pPr>
        <w:widowControl/>
        <w:ind w:firstLine="643" w:firstLineChars="200"/>
        <w:rPr>
          <w:rFonts w:ascii="仿宋_GB2312" w:hAnsi="仿宋" w:eastAsia="仿宋_GB2312" w:cs="仿宋"/>
          <w:kern w:val="0"/>
          <w:sz w:val="32"/>
          <w:szCs w:val="32"/>
        </w:rPr>
      </w:pPr>
      <w:r>
        <w:rPr>
          <w:rFonts w:hint="eastAsia" w:ascii="仿宋_GB2312" w:hAnsi="仿宋" w:eastAsia="仿宋_GB2312" w:cs="仿宋"/>
          <w:b/>
          <w:bCs/>
          <w:kern w:val="0"/>
          <w:sz w:val="32"/>
          <w:szCs w:val="32"/>
        </w:rPr>
        <w:t>（二）办理环境资源类案件，可以从违法性认识错误的角度，重点审查行为人的主观犯意。</w:t>
      </w:r>
      <w:r>
        <w:rPr>
          <w:rFonts w:hint="eastAsia" w:ascii="仿宋_GB2312" w:hAnsi="仿宋" w:eastAsia="仿宋_GB2312" w:cs="仿宋"/>
          <w:kern w:val="0"/>
          <w:sz w:val="32"/>
          <w:szCs w:val="32"/>
        </w:rPr>
        <w:t>属地镇政府与行为人签订土地复垦等工程施工协议时，仅有权授予行为人进行土地复垦，并对工程进行监管，不具有授予开采、销售矿石的权限。尽管部分工作人员对行为人利用工程施工开采矿石的情况采取默许的态度，也属于无效授权，不影响对非法采矿罪的认定。本案中，根据施工现场的视频、照片，主管部门巡查记录、处罚决定等证据，足以证实行为人是以复垦之名，行盗采之实。周某某等人对镇政府相关人员存在默许的辩解，属于可以避免的违法性认识错误，不能阻却犯罪构成。</w:t>
      </w:r>
    </w:p>
    <w:p>
      <w:pPr>
        <w:ind w:firstLine="640" w:firstLineChars="200"/>
        <w:outlineLvl w:val="1"/>
        <w:rPr>
          <w:rFonts w:ascii="黑体" w:hAnsi="黑体" w:eastAsia="黑体" w:cs="黑体"/>
          <w:sz w:val="32"/>
          <w:szCs w:val="40"/>
        </w:rPr>
      </w:pPr>
      <w:bookmarkStart w:id="75" w:name="_Toc5752"/>
      <w:bookmarkStart w:id="76" w:name="_Toc104365461"/>
      <w:r>
        <w:rPr>
          <w:rFonts w:hint="eastAsia" w:ascii="黑体" w:hAnsi="黑体" w:eastAsia="黑体" w:cs="黑体"/>
          <w:sz w:val="32"/>
          <w:szCs w:val="40"/>
        </w:rPr>
        <w:t>二、黄某某非法收购、出售珍贵、濒危野生动物案</w:t>
      </w:r>
      <w:bookmarkEnd w:id="75"/>
      <w:bookmarkEnd w:id="76"/>
    </w:p>
    <w:p>
      <w:pPr>
        <w:widowControl/>
        <w:jc w:val="left"/>
        <w:rPr>
          <w:rFonts w:ascii="楷体" w:hAnsi="楷体" w:eastAsia="楷体" w:cs="仿宋"/>
          <w:b/>
          <w:kern w:val="0"/>
          <w:sz w:val="32"/>
          <w:szCs w:val="32"/>
        </w:rPr>
      </w:pPr>
      <w:bookmarkStart w:id="77" w:name="_Toc25727"/>
      <w:bookmarkStart w:id="78" w:name="_Toc104365462"/>
      <w:bookmarkStart w:id="79" w:name="_Toc32558"/>
      <w:r>
        <w:rPr>
          <w:rFonts w:hint="eastAsia" w:ascii="楷体" w:hAnsi="楷体" w:eastAsia="楷体" w:cs="仿宋"/>
          <w:b/>
          <w:kern w:val="0"/>
          <w:sz w:val="32"/>
          <w:szCs w:val="32"/>
        </w:rPr>
        <w:t>【基本案情】</w:t>
      </w:r>
      <w:bookmarkEnd w:id="77"/>
      <w:bookmarkEnd w:id="78"/>
      <w:bookmarkEnd w:id="79"/>
    </w:p>
    <w:p>
      <w:pPr>
        <w:widowControl/>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被告人黄某某，男，渔民。</w:t>
      </w:r>
    </w:p>
    <w:p>
      <w:pPr>
        <w:widowControl/>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2018年1月至2019年4月间，被告人黄某某为牟取非法利益，在未经野生动物保护部门许可的情况下，在海南省海口市、三亚市等地收购渔民非法捕捞的112只绿海龟、玳瑁等海龟科动物，再出售给他人用于观赏和放生。上述海龟在案发时均为国家二级保护动物，现为国家一级保护动物，其中成体海龟6只，幼体海龟106只,价值共计583200元。</w:t>
      </w:r>
    </w:p>
    <w:p>
      <w:pPr>
        <w:ind w:firstLine="640" w:firstLineChars="200"/>
        <w:outlineLvl w:val="1"/>
        <w:rPr>
          <w:rFonts w:ascii="仿宋_GB2312" w:hAnsi="Arial" w:eastAsia="仿宋_GB2312" w:cs="Arial"/>
          <w:kern w:val="0"/>
          <w:sz w:val="32"/>
          <w:szCs w:val="32"/>
        </w:rPr>
      </w:pPr>
      <w:bookmarkStart w:id="80" w:name="_Toc4792"/>
      <w:bookmarkStart w:id="81" w:name="_Toc13161"/>
      <w:r>
        <w:rPr>
          <w:rFonts w:hint="eastAsia" w:ascii="仿宋_GB2312" w:hAnsi="Arial" w:eastAsia="仿宋_GB2312" w:cs="Arial"/>
          <w:kern w:val="0"/>
          <w:sz w:val="32"/>
          <w:szCs w:val="32"/>
        </w:rPr>
        <w:t>2021年1月13日，一审法院以非法收购、出售珍贵、濒危野生动物罪</w:t>
      </w:r>
      <w:r>
        <w:rPr>
          <w:rStyle w:val="14"/>
          <w:rFonts w:ascii="宋体" w:hAnsi="宋体" w:cs="仿宋"/>
          <w:b/>
          <w:bCs/>
          <w:sz w:val="32"/>
          <w:szCs w:val="40"/>
        </w:rPr>
        <w:footnoteReference w:id="2"/>
      </w:r>
      <w:r>
        <w:rPr>
          <w:rFonts w:hint="eastAsia" w:ascii="仿宋_GB2312" w:hAnsi="Arial" w:eastAsia="仿宋_GB2312" w:cs="Arial"/>
          <w:kern w:val="0"/>
          <w:sz w:val="32"/>
          <w:szCs w:val="32"/>
        </w:rPr>
        <w:t>（现已更名为危害珍贵、濒危野生动物罪）判处黄某某有期徒刑三年六个月，并处罚金人民币十万元，现判决已生效。</w:t>
      </w:r>
      <w:bookmarkEnd w:id="80"/>
      <w:bookmarkEnd w:id="81"/>
    </w:p>
    <w:p>
      <w:pPr>
        <w:ind w:firstLine="640" w:firstLineChars="200"/>
        <w:outlineLvl w:val="1"/>
        <w:rPr>
          <w:rFonts w:ascii="仿宋_GB2312" w:hAnsi="Arial" w:eastAsia="仿宋_GB2312" w:cs="Arial"/>
          <w:kern w:val="0"/>
          <w:sz w:val="32"/>
          <w:szCs w:val="32"/>
        </w:rPr>
      </w:pPr>
    </w:p>
    <w:p>
      <w:pPr>
        <w:widowControl/>
        <w:jc w:val="left"/>
        <w:rPr>
          <w:rFonts w:ascii="楷体" w:hAnsi="楷体" w:eastAsia="楷体" w:cs="仿宋"/>
          <w:b/>
          <w:kern w:val="0"/>
          <w:sz w:val="32"/>
          <w:szCs w:val="32"/>
        </w:rPr>
      </w:pPr>
      <w:r>
        <w:rPr>
          <w:rFonts w:hint="eastAsia" w:ascii="楷体" w:hAnsi="楷体" w:eastAsia="楷体" w:cs="仿宋"/>
          <w:b/>
          <w:kern w:val="0"/>
          <w:sz w:val="32"/>
          <w:szCs w:val="32"/>
        </w:rPr>
        <w:t>【检察履职情况】</w:t>
      </w:r>
    </w:p>
    <w:p>
      <w:pPr>
        <w:widowControl/>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本案系徐州铁路运输检察院办理的特大非法交易海龟系列案件中的一案。公安机关在扫黑除恶过程中发现“黑老大”涉嫌非法收购1只海龟，检察机关提前介入，引导公安机关全链条打击，摧毁了一个涉及全国20余城市600余只海龟的非法猎捕交易黑产链条。</w:t>
      </w:r>
    </w:p>
    <w:p>
      <w:pPr>
        <w:widowControl/>
        <w:ind w:firstLine="643" w:firstLineChars="20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鉴定和认定相结合确定海龟种属，借用“外脑”确定海龟价值。</w:t>
      </w:r>
      <w:r>
        <w:rPr>
          <w:rFonts w:hint="eastAsia" w:ascii="仿宋_GB2312" w:hAnsi="Arial" w:eastAsia="仿宋_GB2312" w:cs="Arial"/>
          <w:kern w:val="0"/>
          <w:sz w:val="32"/>
          <w:szCs w:val="32"/>
        </w:rPr>
        <w:t>起诉时全案未扣押到海龟实物，定罪成为难点。检察官针对无海龟实物但有交易海龟图片和视频资料的犯罪事实，通过照片和视频辅助鉴定海龟种属。针对既无海龟实物，亦无照片和视频的犯罪事实，结合聊天记录、交易价格、被告人职业身份、发货单和供述等综合认定种属。同时对虽有海龟种属，但无法区分成体、幼体问题，检察机关借用“外脑”，根据海洋动物专家提出背甲长度大于80公分为成体海龟的意见，准确认定海龟价值。</w:t>
      </w:r>
    </w:p>
    <w:p>
      <w:pPr>
        <w:widowControl/>
        <w:ind w:firstLine="643" w:firstLineChars="20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自行侦查，提取电子证据，追加认定遗漏犯罪事实。</w:t>
      </w:r>
      <w:r>
        <w:rPr>
          <w:rFonts w:hint="eastAsia" w:ascii="仿宋_GB2312" w:hAnsi="Arial" w:eastAsia="仿宋_GB2312" w:cs="Arial"/>
          <w:kern w:val="0"/>
          <w:sz w:val="32"/>
          <w:szCs w:val="32"/>
        </w:rPr>
        <w:t>针对被告人手机等未随案移送等问题，检察机关要求公安机关移送手机等关键证据。在审查黄某某微信聊天记录，发现另有他人涉嫌与黄某某多次非法交易海龟，自行侦查，提取电子证据、发货单等，增加遗漏犯罪事实7起，增加涉案海龟72只，并向公安机关提供漏犯的犯罪线索，后多名漏犯被立案侦查。</w:t>
      </w:r>
    </w:p>
    <w:p>
      <w:pPr>
        <w:widowControl/>
        <w:ind w:firstLine="643" w:firstLineChars="200"/>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妥善救助海龟，提升办案效果。</w:t>
      </w:r>
      <w:r>
        <w:rPr>
          <w:rFonts w:hint="eastAsia" w:ascii="仿宋_GB2312" w:hAnsi="Arial" w:eastAsia="仿宋_GB2312" w:cs="Arial"/>
          <w:kern w:val="0"/>
          <w:sz w:val="32"/>
          <w:szCs w:val="32"/>
        </w:rPr>
        <w:t>在本案判决后，海龟相继被扣押，检察机关发现扣押的海龟因救助条件匮乏频频出现伤病死亡现象。为了防止海龟进一步的伤残和死亡，在最高检和省检察院指导下，全国四级检察机关联动，协调海洋渔业主管部门支持，救助系列案件海龟200余只，并适时放归大海。案件办理得到最高检和省检察院领导多次批示肯定，20余家中央和省级媒体持续报道，制作动漫宣传片《海龟回家》，产生良好效果。该案办理情况被新华社记者采写报送《内参》。经国务院批准调整发布的《国家重点保护野生动物名录》将海龟科保护级别由国家二级升为国家一级。</w:t>
      </w:r>
    </w:p>
    <w:p>
      <w:pPr>
        <w:widowControl/>
        <w:jc w:val="left"/>
        <w:rPr>
          <w:rFonts w:ascii="楷体" w:hAnsi="楷体" w:eastAsia="楷体" w:cs="Arial"/>
          <w:b/>
          <w:kern w:val="0"/>
          <w:sz w:val="32"/>
          <w:szCs w:val="32"/>
        </w:rPr>
      </w:pPr>
      <w:r>
        <w:rPr>
          <w:rFonts w:hint="eastAsia" w:ascii="楷体" w:hAnsi="楷体" w:eastAsia="楷体" w:cs="Arial"/>
          <w:b/>
          <w:kern w:val="0"/>
          <w:sz w:val="32"/>
          <w:szCs w:val="32"/>
        </w:rPr>
        <w:t>【典型意义】</w:t>
      </w:r>
    </w:p>
    <w:p>
      <w:pPr>
        <w:widowControl/>
        <w:ind w:firstLine="640" w:firstLineChars="200"/>
        <w:jc w:val="left"/>
        <w:rPr>
          <w:rFonts w:ascii="仿宋_GB2312" w:hAnsi="Arial" w:eastAsia="仿宋_GB2312" w:cs="Arial"/>
          <w:kern w:val="0"/>
          <w:sz w:val="32"/>
          <w:szCs w:val="32"/>
        </w:rPr>
      </w:pPr>
      <w:r>
        <w:rPr>
          <w:rFonts w:hint="eastAsia" w:ascii="仿宋_GB2312" w:hAnsi="Arial" w:eastAsia="仿宋_GB2312" w:cs="Arial"/>
          <w:kern w:val="0"/>
          <w:sz w:val="32"/>
          <w:szCs w:val="32"/>
        </w:rPr>
        <w:t>针对办理野生动物资源案件，时常出现收购者不到案或者涉案动物灭失的情况，导致无实物的犯罪事实很难认定。检察机关通过审查电子证据，以照片、视频等客观直接证据，以及交易习惯、被告人职业等间接证据，相互补充，鉴定、认定动物种属，并采纳专家辅助人的“外脑”意见，来准确认定海龟成幼体，解决涉案野生动物专业性疑难问题。同时自行侦查，追加认定遗漏犯罪事实，协调多部门联动，妥善救助海龟，修复受损海洋生态链，取得较好效果。</w:t>
      </w:r>
    </w:p>
    <w:p>
      <w:pPr>
        <w:widowControl/>
        <w:ind w:firstLine="640" w:firstLineChars="200"/>
        <w:jc w:val="left"/>
        <w:outlineLvl w:val="1"/>
        <w:rPr>
          <w:rFonts w:ascii="黑体" w:hAnsi="黑体" w:eastAsia="黑体" w:cs="黑体"/>
          <w:sz w:val="32"/>
          <w:szCs w:val="40"/>
        </w:rPr>
      </w:pPr>
      <w:bookmarkStart w:id="82" w:name="_Toc24474"/>
      <w:r>
        <w:rPr>
          <w:rFonts w:hint="eastAsia" w:ascii="黑体" w:hAnsi="黑体" w:eastAsia="黑体" w:cs="黑体"/>
          <w:sz w:val="32"/>
          <w:szCs w:val="40"/>
        </w:rPr>
        <w:t>三、江苏A电力设备制造有限公司、刘某某等人</w:t>
      </w:r>
      <w:bookmarkStart w:id="83" w:name="_Toc7586"/>
      <w:r>
        <w:rPr>
          <w:rFonts w:hint="eastAsia" w:ascii="黑体" w:hAnsi="黑体" w:eastAsia="黑体" w:cs="黑体"/>
          <w:sz w:val="32"/>
          <w:szCs w:val="40"/>
        </w:rPr>
        <w:t>污染环境案</w:t>
      </w:r>
      <w:bookmarkEnd w:id="82"/>
      <w:bookmarkEnd w:id="83"/>
    </w:p>
    <w:p>
      <w:pPr>
        <w:widowControl/>
        <w:jc w:val="left"/>
        <w:rPr>
          <w:rFonts w:ascii="楷体" w:hAnsi="楷体" w:eastAsia="楷体" w:cs="Arial"/>
          <w:b/>
          <w:kern w:val="0"/>
          <w:sz w:val="32"/>
          <w:szCs w:val="32"/>
        </w:rPr>
      </w:pPr>
      <w:r>
        <w:rPr>
          <w:rFonts w:ascii="楷体" w:hAnsi="楷体" w:eastAsia="楷体" w:cs="Arial"/>
          <w:b/>
          <w:kern w:val="0"/>
          <w:sz w:val="32"/>
          <w:szCs w:val="32"/>
        </w:rPr>
        <w:t>【基本案情】</w:t>
      </w:r>
    </w:p>
    <w:p>
      <w:pPr>
        <w:widowControl/>
        <w:ind w:firstLine="640" w:firstLineChars="200"/>
        <w:jc w:val="left"/>
        <w:rPr>
          <w:rFonts w:ascii="Arial" w:hAnsi="Arial" w:cs="Arial"/>
          <w:kern w:val="0"/>
          <w:sz w:val="32"/>
          <w:szCs w:val="32"/>
        </w:rPr>
      </w:pPr>
      <w:r>
        <w:rPr>
          <w:rFonts w:ascii="仿宋_GB2312" w:hAnsi="Arial" w:eastAsia="仿宋_GB2312" w:cs="Arial"/>
          <w:kern w:val="0"/>
          <w:sz w:val="32"/>
          <w:szCs w:val="32"/>
        </w:rPr>
        <w:t>被告单位江苏A电力设备制造有限公司(以下简称A电力公司)，法定代表人李某利。</w:t>
      </w:r>
    </w:p>
    <w:p>
      <w:pPr>
        <w:widowControl/>
        <w:ind w:firstLine="640" w:firstLineChars="200"/>
        <w:jc w:val="left"/>
        <w:rPr>
          <w:rFonts w:ascii="Arial" w:hAnsi="Arial" w:cs="Arial"/>
          <w:kern w:val="0"/>
          <w:sz w:val="32"/>
          <w:szCs w:val="32"/>
        </w:rPr>
      </w:pPr>
      <w:r>
        <w:rPr>
          <w:rFonts w:ascii="仿宋_GB2312" w:hAnsi="Arial" w:eastAsia="仿宋_GB2312" w:cs="Arial"/>
          <w:kern w:val="0"/>
          <w:sz w:val="32"/>
          <w:szCs w:val="32"/>
        </w:rPr>
        <w:t>被告人李某</w:t>
      </w:r>
      <w:r>
        <w:rPr>
          <w:rFonts w:hint="eastAsia" w:ascii="仿宋_GB2312" w:hAnsi="Arial" w:eastAsia="仿宋_GB2312" w:cs="Arial"/>
          <w:kern w:val="0"/>
          <w:sz w:val="32"/>
          <w:szCs w:val="32"/>
        </w:rPr>
        <w:t>某</w:t>
      </w:r>
      <w:r>
        <w:rPr>
          <w:rFonts w:ascii="仿宋_GB2312" w:hAnsi="Arial" w:eastAsia="仿宋_GB2312" w:cs="Arial"/>
          <w:kern w:val="0"/>
          <w:sz w:val="32"/>
          <w:szCs w:val="32"/>
        </w:rPr>
        <w:t>，男，被告单位A电力公司负责人。</w:t>
      </w:r>
    </w:p>
    <w:p>
      <w:pPr>
        <w:widowControl/>
        <w:ind w:firstLine="640" w:firstLineChars="200"/>
        <w:jc w:val="left"/>
        <w:rPr>
          <w:rFonts w:ascii="Arial" w:hAnsi="Arial" w:cs="Arial"/>
          <w:kern w:val="0"/>
          <w:sz w:val="32"/>
          <w:szCs w:val="32"/>
        </w:rPr>
      </w:pPr>
      <w:r>
        <w:rPr>
          <w:rFonts w:ascii="仿宋_GB2312" w:hAnsi="Arial" w:eastAsia="仿宋_GB2312" w:cs="Arial"/>
          <w:kern w:val="0"/>
          <w:sz w:val="32"/>
          <w:szCs w:val="32"/>
        </w:rPr>
        <w:t>被告人刘某</w:t>
      </w:r>
      <w:r>
        <w:rPr>
          <w:rFonts w:hint="eastAsia" w:ascii="仿宋_GB2312" w:hAnsi="Arial" w:eastAsia="仿宋_GB2312" w:cs="Arial"/>
          <w:kern w:val="0"/>
          <w:sz w:val="32"/>
          <w:szCs w:val="32"/>
        </w:rPr>
        <w:t>某</w:t>
      </w:r>
      <w:r>
        <w:rPr>
          <w:rFonts w:ascii="仿宋_GB2312" w:hAnsi="Arial" w:eastAsia="仿宋_GB2312" w:cs="Arial"/>
          <w:kern w:val="0"/>
          <w:sz w:val="32"/>
          <w:szCs w:val="32"/>
        </w:rPr>
        <w:t>，女，无业。</w:t>
      </w:r>
    </w:p>
    <w:p>
      <w:pPr>
        <w:widowControl/>
        <w:ind w:firstLine="640" w:firstLineChars="200"/>
        <w:jc w:val="left"/>
        <w:rPr>
          <w:rFonts w:ascii="Arial" w:hAnsi="Arial" w:cs="Arial"/>
          <w:kern w:val="0"/>
          <w:sz w:val="32"/>
          <w:szCs w:val="32"/>
        </w:rPr>
      </w:pPr>
      <w:r>
        <w:rPr>
          <w:rFonts w:ascii="仿宋_GB2312" w:hAnsi="Arial" w:eastAsia="仿宋_GB2312" w:cs="Arial"/>
          <w:kern w:val="0"/>
          <w:sz w:val="32"/>
          <w:szCs w:val="32"/>
        </w:rPr>
        <w:t>被告单位A电力公司因生产工艺产生危险废物废酸液。2018年5月至8月间，被告单位A电力公司明知被告人刘某</w:t>
      </w:r>
      <w:r>
        <w:rPr>
          <w:rFonts w:hint="eastAsia" w:ascii="仿宋_GB2312" w:hAnsi="Arial" w:eastAsia="仿宋_GB2312" w:cs="Arial"/>
          <w:kern w:val="0"/>
          <w:sz w:val="32"/>
          <w:szCs w:val="32"/>
        </w:rPr>
        <w:t>某</w:t>
      </w:r>
      <w:r>
        <w:rPr>
          <w:rFonts w:ascii="仿宋_GB2312" w:hAnsi="Arial" w:eastAsia="仿宋_GB2312" w:cs="Arial"/>
          <w:kern w:val="0"/>
          <w:sz w:val="32"/>
          <w:szCs w:val="32"/>
        </w:rPr>
        <w:t>无危险废物处置资质，为减少处置成本，负责人李某</w:t>
      </w:r>
      <w:r>
        <w:rPr>
          <w:rFonts w:hint="eastAsia" w:ascii="仿宋_GB2312" w:hAnsi="Arial" w:eastAsia="仿宋_GB2312" w:cs="Arial"/>
          <w:kern w:val="0"/>
          <w:sz w:val="32"/>
          <w:szCs w:val="32"/>
        </w:rPr>
        <w:t>某</w:t>
      </w:r>
      <w:r>
        <w:rPr>
          <w:rFonts w:ascii="仿宋_GB2312" w:hAnsi="Arial" w:eastAsia="仿宋_GB2312" w:cs="Arial"/>
          <w:kern w:val="0"/>
          <w:sz w:val="32"/>
          <w:szCs w:val="32"/>
        </w:rPr>
        <w:t>以明显低于市场处置费用的价格，安排员工分两次将386.65吨废酸液交由刘某</w:t>
      </w:r>
      <w:r>
        <w:rPr>
          <w:rFonts w:hint="eastAsia" w:ascii="仿宋_GB2312" w:hAnsi="Arial" w:eastAsia="仿宋_GB2312" w:cs="Arial"/>
          <w:kern w:val="0"/>
          <w:sz w:val="32"/>
          <w:szCs w:val="32"/>
        </w:rPr>
        <w:t>某</w:t>
      </w:r>
      <w:r>
        <w:rPr>
          <w:rFonts w:ascii="仿宋_GB2312" w:hAnsi="Arial" w:eastAsia="仿宋_GB2312" w:cs="Arial"/>
          <w:kern w:val="0"/>
          <w:sz w:val="32"/>
          <w:szCs w:val="32"/>
        </w:rPr>
        <w:t>处理。被告人刘某</w:t>
      </w:r>
      <w:r>
        <w:rPr>
          <w:rFonts w:hint="eastAsia" w:ascii="仿宋_GB2312" w:hAnsi="Arial" w:eastAsia="仿宋_GB2312" w:cs="Arial"/>
          <w:kern w:val="0"/>
          <w:sz w:val="32"/>
          <w:szCs w:val="32"/>
        </w:rPr>
        <w:t>某</w:t>
      </w:r>
      <w:r>
        <w:rPr>
          <w:rFonts w:ascii="仿宋_GB2312" w:hAnsi="Arial" w:eastAsia="仿宋_GB2312" w:cs="Arial"/>
          <w:kern w:val="0"/>
          <w:sz w:val="32"/>
          <w:szCs w:val="32"/>
        </w:rPr>
        <w:t>为牟取利益，与</w:t>
      </w:r>
      <w:r>
        <w:rPr>
          <w:rFonts w:hint="eastAsia" w:ascii="仿宋_GB2312" w:hAnsi="Arial" w:eastAsia="仿宋_GB2312" w:cs="Arial"/>
          <w:kern w:val="0"/>
          <w:sz w:val="32"/>
          <w:szCs w:val="32"/>
        </w:rPr>
        <w:t>公安人员</w:t>
      </w:r>
      <w:r>
        <w:rPr>
          <w:rFonts w:ascii="仿宋_GB2312" w:hAnsi="Arial" w:eastAsia="仿宋_GB2312" w:cs="Arial"/>
          <w:kern w:val="0"/>
          <w:sz w:val="32"/>
          <w:szCs w:val="32"/>
        </w:rPr>
        <w:t>王某</w:t>
      </w:r>
      <w:r>
        <w:rPr>
          <w:rFonts w:hint="eastAsia" w:ascii="仿宋_GB2312" w:hAnsi="Arial" w:eastAsia="仿宋_GB2312" w:cs="Arial"/>
          <w:kern w:val="0"/>
          <w:sz w:val="32"/>
          <w:szCs w:val="32"/>
        </w:rPr>
        <w:t>某</w:t>
      </w:r>
      <w:r>
        <w:rPr>
          <w:rFonts w:ascii="仿宋_GB2312" w:hAnsi="Arial" w:eastAsia="仿宋_GB2312" w:cs="Arial"/>
          <w:kern w:val="0"/>
          <w:sz w:val="32"/>
          <w:szCs w:val="32"/>
        </w:rPr>
        <w:t>（另案处理）商议，共同非法处置被告单位的废酸液。后刘某</w:t>
      </w:r>
      <w:r>
        <w:rPr>
          <w:rFonts w:hint="eastAsia" w:ascii="仿宋_GB2312" w:hAnsi="Arial" w:eastAsia="仿宋_GB2312" w:cs="Arial"/>
          <w:kern w:val="0"/>
          <w:sz w:val="32"/>
          <w:szCs w:val="32"/>
        </w:rPr>
        <w:t>某</w:t>
      </w:r>
      <w:r>
        <w:rPr>
          <w:rFonts w:ascii="仿宋_GB2312" w:hAnsi="Arial" w:eastAsia="仿宋_GB2312" w:cs="Arial"/>
          <w:kern w:val="0"/>
          <w:sz w:val="32"/>
          <w:szCs w:val="32"/>
        </w:rPr>
        <w:t>组织他人将废酸液倾倒至邳州市开发区一渗坑内，严重污染环境。</w:t>
      </w:r>
    </w:p>
    <w:p>
      <w:pPr>
        <w:widowControl/>
        <w:jc w:val="left"/>
        <w:rPr>
          <w:rFonts w:ascii="仿宋_GB2312" w:hAnsi="Arial" w:eastAsia="仿宋_GB2312" w:cs="Arial"/>
          <w:kern w:val="0"/>
          <w:sz w:val="32"/>
          <w:szCs w:val="32"/>
        </w:rPr>
      </w:pPr>
      <w:r>
        <w:rPr>
          <w:rFonts w:hint="eastAsia" w:ascii="仿宋_GB2312" w:hAnsi="Arial" w:eastAsia="仿宋_GB2312" w:cs="Arial"/>
          <w:kern w:val="0"/>
          <w:sz w:val="32"/>
          <w:szCs w:val="32"/>
        </w:rPr>
        <w:t>　　</w:t>
      </w:r>
      <w:r>
        <w:rPr>
          <w:rFonts w:ascii="仿宋_GB2312" w:hAnsi="Arial" w:eastAsia="仿宋_GB2312" w:cs="Arial"/>
          <w:kern w:val="0"/>
          <w:sz w:val="32"/>
          <w:szCs w:val="32"/>
        </w:rPr>
        <w:t>2019年11月27日，一审法院以污染环境罪判处刘某</w:t>
      </w:r>
      <w:r>
        <w:rPr>
          <w:rFonts w:hint="eastAsia" w:ascii="仿宋_GB2312" w:hAnsi="Arial" w:eastAsia="仿宋_GB2312" w:cs="Arial"/>
          <w:kern w:val="0"/>
          <w:sz w:val="32"/>
          <w:szCs w:val="32"/>
        </w:rPr>
        <w:t>某</w:t>
      </w:r>
      <w:r>
        <w:rPr>
          <w:rFonts w:ascii="仿宋_GB2312" w:hAnsi="Arial" w:eastAsia="仿宋_GB2312" w:cs="Arial"/>
          <w:kern w:val="0"/>
          <w:sz w:val="32"/>
          <w:szCs w:val="32"/>
        </w:rPr>
        <w:t>有期徒刑三年三个月</w:t>
      </w:r>
      <w:r>
        <w:rPr>
          <w:rFonts w:hint="eastAsia" w:ascii="仿宋_GB2312" w:hAnsi="Arial" w:eastAsia="仿宋_GB2312" w:cs="Arial"/>
          <w:kern w:val="0"/>
          <w:sz w:val="32"/>
          <w:szCs w:val="32"/>
        </w:rPr>
        <w:t>,并处罚金</w:t>
      </w:r>
      <w:r>
        <w:rPr>
          <w:rFonts w:ascii="仿宋_GB2312" w:hAnsi="Arial" w:eastAsia="仿宋_GB2312" w:cs="Arial"/>
          <w:kern w:val="0"/>
          <w:sz w:val="32"/>
          <w:szCs w:val="32"/>
        </w:rPr>
        <w:t>;判处被告单位A电力公司罚金50万元;判处李某</w:t>
      </w:r>
      <w:r>
        <w:rPr>
          <w:rFonts w:hint="eastAsia" w:ascii="仿宋_GB2312" w:hAnsi="Arial" w:eastAsia="仿宋_GB2312" w:cs="Arial"/>
          <w:kern w:val="0"/>
          <w:sz w:val="32"/>
          <w:szCs w:val="32"/>
        </w:rPr>
        <w:t>某</w:t>
      </w:r>
      <w:r>
        <w:rPr>
          <w:rFonts w:ascii="仿宋_GB2312" w:hAnsi="Arial" w:eastAsia="仿宋_GB2312" w:cs="Arial"/>
          <w:kern w:val="0"/>
          <w:sz w:val="32"/>
          <w:szCs w:val="32"/>
        </w:rPr>
        <w:t>有期徒刑二年六个月，适用缓刑</w:t>
      </w:r>
      <w:r>
        <w:rPr>
          <w:rFonts w:hint="eastAsia" w:ascii="仿宋_GB2312" w:hAnsi="Arial" w:eastAsia="仿宋_GB2312" w:cs="Arial"/>
          <w:kern w:val="0"/>
          <w:sz w:val="32"/>
          <w:szCs w:val="32"/>
        </w:rPr>
        <w:t>,并处罚金</w:t>
      </w:r>
      <w:r>
        <w:rPr>
          <w:rFonts w:ascii="仿宋_GB2312" w:hAnsi="Arial" w:eastAsia="仿宋_GB2312" w:cs="Arial"/>
          <w:kern w:val="0"/>
          <w:sz w:val="32"/>
          <w:szCs w:val="32"/>
        </w:rPr>
        <w:t>；其余被告人被判处二年至一年二个月不等有期徒刑</w:t>
      </w:r>
      <w:r>
        <w:rPr>
          <w:rFonts w:hint="eastAsia" w:ascii="仿宋_GB2312" w:hAnsi="Arial" w:eastAsia="仿宋_GB2312" w:cs="Arial"/>
          <w:kern w:val="0"/>
          <w:sz w:val="32"/>
          <w:szCs w:val="32"/>
        </w:rPr>
        <w:t>,并处罚金</w:t>
      </w:r>
      <w:r>
        <w:rPr>
          <w:rFonts w:ascii="仿宋_GB2312" w:hAnsi="Arial" w:eastAsia="仿宋_GB2312" w:cs="Arial"/>
          <w:kern w:val="0"/>
          <w:sz w:val="32"/>
          <w:szCs w:val="32"/>
        </w:rPr>
        <w:t>。刘某</w:t>
      </w:r>
      <w:r>
        <w:rPr>
          <w:rFonts w:hint="eastAsia" w:ascii="仿宋_GB2312" w:hAnsi="Arial" w:eastAsia="仿宋_GB2312" w:cs="Arial"/>
          <w:kern w:val="0"/>
          <w:sz w:val="32"/>
          <w:szCs w:val="32"/>
        </w:rPr>
        <w:t>某</w:t>
      </w:r>
      <w:r>
        <w:rPr>
          <w:rFonts w:ascii="仿宋_GB2312" w:hAnsi="Arial" w:eastAsia="仿宋_GB2312" w:cs="Arial"/>
          <w:kern w:val="0"/>
          <w:sz w:val="32"/>
          <w:szCs w:val="32"/>
        </w:rPr>
        <w:t>上诉后，2021年4月22日，法院二审裁定驳回上诉，维持原判。</w:t>
      </w:r>
    </w:p>
    <w:p>
      <w:pPr>
        <w:widowControl/>
        <w:jc w:val="left"/>
        <w:rPr>
          <w:rFonts w:ascii="楷体" w:hAnsi="楷体" w:eastAsia="楷体" w:cs="Arial"/>
          <w:b/>
          <w:kern w:val="0"/>
          <w:sz w:val="32"/>
          <w:szCs w:val="32"/>
        </w:rPr>
      </w:pPr>
      <w:r>
        <w:rPr>
          <w:rFonts w:ascii="楷体" w:hAnsi="楷体" w:eastAsia="楷体" w:cs="Arial"/>
          <w:b/>
          <w:kern w:val="0"/>
          <w:sz w:val="32"/>
          <w:szCs w:val="32"/>
        </w:rPr>
        <w:t>【检察履职情况】</w:t>
      </w:r>
    </w:p>
    <w:p>
      <w:pPr>
        <w:widowControl/>
        <w:ind w:firstLine="643" w:firstLineChars="200"/>
        <w:jc w:val="left"/>
        <w:rPr>
          <w:rFonts w:ascii="仿宋_GB2312" w:hAnsi="Arial" w:eastAsia="仿宋_GB2312" w:cs="Arial"/>
          <w:kern w:val="0"/>
          <w:sz w:val="32"/>
          <w:szCs w:val="32"/>
        </w:rPr>
      </w:pPr>
      <w:r>
        <w:rPr>
          <w:rFonts w:ascii="仿宋_GB2312" w:hAnsi="Arial" w:eastAsia="仿宋_GB2312" w:cs="Arial"/>
          <w:b/>
          <w:bCs/>
          <w:kern w:val="0"/>
          <w:sz w:val="32"/>
          <w:szCs w:val="32"/>
        </w:rPr>
        <w:t>运用客观证据，成功追诉漏犯。</w:t>
      </w:r>
      <w:r>
        <w:rPr>
          <w:rFonts w:ascii="仿宋_GB2312" w:hAnsi="Arial" w:eastAsia="仿宋_GB2312" w:cs="Arial"/>
          <w:kern w:val="0"/>
          <w:sz w:val="32"/>
          <w:szCs w:val="32"/>
        </w:rPr>
        <w:t>2019年2月28日，公安机关将刘某</w:t>
      </w:r>
      <w:r>
        <w:rPr>
          <w:rFonts w:hint="eastAsia" w:ascii="仿宋_GB2312" w:hAnsi="Arial" w:eastAsia="仿宋_GB2312" w:cs="Arial"/>
          <w:kern w:val="0"/>
          <w:sz w:val="32"/>
          <w:szCs w:val="32"/>
        </w:rPr>
        <w:t>某</w:t>
      </w:r>
      <w:r>
        <w:rPr>
          <w:rFonts w:ascii="仿宋_GB2312" w:hAnsi="Arial" w:eastAsia="仿宋_GB2312" w:cs="Arial"/>
          <w:kern w:val="0"/>
          <w:sz w:val="32"/>
          <w:szCs w:val="32"/>
        </w:rPr>
        <w:t>等4人以涉嫌污染环境罪一案移送审查起诉。审查中，检察官调取财物审批单、废酸液处置合同、处置价格等相关书证，并询问相关人员，通过客观证据、言词证据横向比对，证实李某</w:t>
      </w:r>
      <w:r>
        <w:rPr>
          <w:rFonts w:hint="eastAsia" w:ascii="仿宋_GB2312" w:hAnsi="Arial" w:eastAsia="仿宋_GB2312" w:cs="Arial"/>
          <w:kern w:val="0"/>
          <w:sz w:val="32"/>
          <w:szCs w:val="32"/>
        </w:rPr>
        <w:t>某</w:t>
      </w:r>
      <w:r>
        <w:rPr>
          <w:rFonts w:ascii="仿宋_GB2312" w:hAnsi="Arial" w:eastAsia="仿宋_GB2312" w:cs="Arial"/>
          <w:kern w:val="0"/>
          <w:sz w:val="32"/>
          <w:szCs w:val="32"/>
        </w:rPr>
        <w:t>作为公司负责人同意非法处置废酸液，并授意签订假合同掩盖污染环境行为，在单位犯罪中起决定作用，成功追诉单位及负责人李某</w:t>
      </w:r>
      <w:r>
        <w:rPr>
          <w:rFonts w:hint="eastAsia" w:ascii="仿宋_GB2312" w:hAnsi="Arial" w:eastAsia="仿宋_GB2312" w:cs="Arial"/>
          <w:kern w:val="0"/>
          <w:sz w:val="32"/>
          <w:szCs w:val="32"/>
        </w:rPr>
        <w:t>某</w:t>
      </w:r>
      <w:r>
        <w:rPr>
          <w:rFonts w:ascii="仿宋_GB2312" w:hAnsi="Arial" w:eastAsia="仿宋_GB2312" w:cs="Arial"/>
          <w:kern w:val="0"/>
          <w:sz w:val="32"/>
          <w:szCs w:val="32"/>
        </w:rPr>
        <w:t>的刑事责任，并促使李某</w:t>
      </w:r>
      <w:r>
        <w:rPr>
          <w:rFonts w:hint="eastAsia" w:ascii="仿宋_GB2312" w:hAnsi="Arial" w:eastAsia="仿宋_GB2312" w:cs="Arial"/>
          <w:kern w:val="0"/>
          <w:sz w:val="32"/>
          <w:szCs w:val="32"/>
        </w:rPr>
        <w:t>某</w:t>
      </w:r>
      <w:r>
        <w:rPr>
          <w:rFonts w:ascii="仿宋_GB2312" w:hAnsi="Arial" w:eastAsia="仿宋_GB2312" w:cs="Arial"/>
          <w:kern w:val="0"/>
          <w:sz w:val="32"/>
          <w:szCs w:val="32"/>
        </w:rPr>
        <w:t>从拒不认罪到主动认罪认罚。</w:t>
      </w:r>
    </w:p>
    <w:p>
      <w:pPr>
        <w:widowControl/>
        <w:ind w:firstLine="643" w:firstLineChars="200"/>
        <w:jc w:val="left"/>
        <w:rPr>
          <w:rFonts w:ascii="仿宋_GB2312" w:hAnsi="Arial" w:eastAsia="仿宋_GB2312" w:cs="Arial"/>
          <w:kern w:val="0"/>
          <w:sz w:val="32"/>
          <w:szCs w:val="32"/>
        </w:rPr>
      </w:pPr>
      <w:r>
        <w:rPr>
          <w:rFonts w:ascii="仿宋_GB2312" w:hAnsi="Arial" w:eastAsia="仿宋_GB2312" w:cs="Arial"/>
          <w:b/>
          <w:bCs/>
          <w:kern w:val="0"/>
          <w:sz w:val="32"/>
          <w:szCs w:val="32"/>
        </w:rPr>
        <w:t>深挖职务犯罪线索，及时移送职能部门处理。</w:t>
      </w:r>
      <w:r>
        <w:rPr>
          <w:rFonts w:ascii="仿宋_GB2312" w:hAnsi="Arial" w:eastAsia="仿宋_GB2312" w:cs="Arial"/>
          <w:kern w:val="0"/>
          <w:sz w:val="32"/>
          <w:szCs w:val="32"/>
        </w:rPr>
        <w:t>检察机关在审查发现，王某</w:t>
      </w:r>
      <w:r>
        <w:rPr>
          <w:rFonts w:hint="eastAsia" w:ascii="仿宋_GB2312" w:hAnsi="Arial" w:eastAsia="仿宋_GB2312" w:cs="Arial"/>
          <w:kern w:val="0"/>
          <w:sz w:val="32"/>
          <w:szCs w:val="32"/>
        </w:rPr>
        <w:t>某身为公安人员</w:t>
      </w:r>
      <w:r>
        <w:rPr>
          <w:rFonts w:ascii="仿宋_GB2312" w:hAnsi="Arial" w:eastAsia="仿宋_GB2312" w:cs="Arial"/>
          <w:kern w:val="0"/>
          <w:sz w:val="32"/>
          <w:szCs w:val="32"/>
        </w:rPr>
        <w:t>，与刘某</w:t>
      </w:r>
      <w:r>
        <w:rPr>
          <w:rFonts w:hint="eastAsia" w:ascii="仿宋_GB2312" w:hAnsi="Arial" w:eastAsia="仿宋_GB2312" w:cs="Arial"/>
          <w:kern w:val="0"/>
          <w:sz w:val="32"/>
          <w:szCs w:val="32"/>
        </w:rPr>
        <w:t>某</w:t>
      </w:r>
      <w:r>
        <w:rPr>
          <w:rFonts w:ascii="仿宋_GB2312" w:hAnsi="Arial" w:eastAsia="仿宋_GB2312" w:cs="Arial"/>
          <w:kern w:val="0"/>
          <w:sz w:val="32"/>
          <w:szCs w:val="32"/>
        </w:rPr>
        <w:t>共同处置危险废物的同时，还利用监管易制毒危险化学品的职权，指定被告单位购买特定厂家的盐酸，并介绍刘某</w:t>
      </w:r>
      <w:r>
        <w:rPr>
          <w:rFonts w:hint="eastAsia" w:ascii="仿宋_GB2312" w:hAnsi="Arial" w:eastAsia="仿宋_GB2312" w:cs="Arial"/>
          <w:kern w:val="0"/>
          <w:sz w:val="32"/>
          <w:szCs w:val="32"/>
        </w:rPr>
        <w:t>某</w:t>
      </w:r>
      <w:r>
        <w:rPr>
          <w:rFonts w:ascii="仿宋_GB2312" w:hAnsi="Arial" w:eastAsia="仿宋_GB2312" w:cs="Arial"/>
          <w:kern w:val="0"/>
          <w:sz w:val="32"/>
          <w:szCs w:val="32"/>
        </w:rPr>
        <w:t>非法处置废酸液，从中获取好处费8万余元的情况，涉嫌职务犯罪，遂将其涉嫌受贿罪和污染环境罪线索移交监察委员会，现王某</w:t>
      </w:r>
      <w:r>
        <w:rPr>
          <w:rFonts w:hint="eastAsia" w:ascii="仿宋_GB2312" w:hAnsi="Arial" w:eastAsia="仿宋_GB2312" w:cs="Arial"/>
          <w:kern w:val="0"/>
          <w:sz w:val="32"/>
          <w:szCs w:val="32"/>
        </w:rPr>
        <w:t>某</w:t>
      </w:r>
      <w:r>
        <w:rPr>
          <w:rFonts w:ascii="仿宋_GB2312" w:hAnsi="Arial" w:eastAsia="仿宋_GB2312" w:cs="Arial"/>
          <w:kern w:val="0"/>
          <w:sz w:val="32"/>
          <w:szCs w:val="32"/>
        </w:rPr>
        <w:t>因受贿罪、污染环境罪共犯获判有期徒刑。</w:t>
      </w:r>
    </w:p>
    <w:p>
      <w:pPr>
        <w:widowControl/>
        <w:ind w:firstLine="643" w:firstLineChars="200"/>
        <w:jc w:val="left"/>
        <w:rPr>
          <w:rFonts w:ascii="仿宋_GB2312" w:hAnsi="Arial" w:eastAsia="仿宋_GB2312" w:cs="Arial"/>
          <w:kern w:val="0"/>
          <w:sz w:val="32"/>
          <w:szCs w:val="32"/>
        </w:rPr>
      </w:pPr>
      <w:r>
        <w:rPr>
          <w:rFonts w:ascii="仿宋_GB2312" w:hAnsi="Arial" w:eastAsia="仿宋_GB2312" w:cs="Arial"/>
          <w:b/>
          <w:bCs/>
          <w:kern w:val="0"/>
          <w:sz w:val="32"/>
          <w:szCs w:val="32"/>
        </w:rPr>
        <w:t>考察评估，督促修复受损环境，做到宽严相济。</w:t>
      </w:r>
      <w:r>
        <w:rPr>
          <w:rFonts w:ascii="仿宋_GB2312" w:hAnsi="Arial" w:eastAsia="仿宋_GB2312" w:cs="Arial"/>
          <w:kern w:val="0"/>
          <w:sz w:val="32"/>
          <w:szCs w:val="32"/>
        </w:rPr>
        <w:t>办案过程中，检察官对涉案企业运营情况，危险废物倾倒地受损情况等进行考察，督促被告单位支付350万元，修复受损的土壤及环境，现修复工程已由第三方验收完毕。同时充分考虑被告单位在当地属于龙头企业，企业经营运转情况等，综合被告单位修复环境、认罪认罚、主动配合调查等情节，对负责人提出缓刑的量刑建议，并被法院采纳。</w:t>
      </w:r>
    </w:p>
    <w:p>
      <w:pPr>
        <w:widowControl/>
        <w:jc w:val="left"/>
        <w:rPr>
          <w:rFonts w:ascii="楷体" w:hAnsi="楷体" w:eastAsia="楷体" w:cs="Arial"/>
          <w:b/>
          <w:kern w:val="0"/>
          <w:sz w:val="32"/>
          <w:szCs w:val="32"/>
        </w:rPr>
      </w:pPr>
      <w:r>
        <w:rPr>
          <w:rFonts w:ascii="楷体" w:hAnsi="楷体" w:eastAsia="楷体" w:cs="Arial"/>
          <w:b/>
          <w:kern w:val="0"/>
          <w:sz w:val="32"/>
          <w:szCs w:val="32"/>
        </w:rPr>
        <w:t>【典型意义】</w:t>
      </w:r>
    </w:p>
    <w:p>
      <w:pPr>
        <w:widowControl/>
        <w:ind w:firstLine="640" w:firstLineChars="200"/>
        <w:jc w:val="left"/>
        <w:rPr>
          <w:rFonts w:ascii="仿宋_GB2312" w:hAnsi="Arial" w:eastAsia="仿宋_GB2312" w:cs="Arial"/>
          <w:kern w:val="0"/>
          <w:sz w:val="32"/>
          <w:szCs w:val="32"/>
        </w:rPr>
      </w:pPr>
      <w:r>
        <w:rPr>
          <w:rFonts w:ascii="仿宋_GB2312" w:hAnsi="Arial" w:eastAsia="仿宋_GB2312" w:cs="Arial"/>
          <w:kern w:val="0"/>
          <w:sz w:val="32"/>
          <w:szCs w:val="32"/>
        </w:rPr>
        <w:t>检察机关通过调取财物审批单、废酸液处置合同、处置价格等相关书证，并询问相关人员，通过客观证据、言词证据横向比对，综合运用客观证据，形成证据锁链，追加单位犯罪，追诉责任人员，发现职务犯罪线索并移送处置。同时督促被告单位支付350万元修复受损环境，并由第三方验收完成，对企业负责人适用缓刑，在打击犯罪同时，有力保障了生态环境和生产经营。</w:t>
      </w:r>
      <w:bookmarkStart w:id="84" w:name="_Toc12566"/>
      <w:bookmarkStart w:id="85" w:name="_Toc101706812"/>
    </w:p>
    <w:bookmarkEnd w:id="84"/>
    <w:bookmarkEnd w:id="85"/>
    <w:p>
      <w:pPr>
        <w:widowControl/>
        <w:ind w:firstLine="640" w:firstLineChars="200"/>
        <w:jc w:val="left"/>
        <w:outlineLvl w:val="1"/>
        <w:rPr>
          <w:rFonts w:ascii="黑体" w:hAnsi="黑体" w:eastAsia="黑体" w:cs="黑体"/>
          <w:sz w:val="32"/>
          <w:szCs w:val="40"/>
        </w:rPr>
      </w:pPr>
      <w:bookmarkStart w:id="86" w:name="_Toc1128"/>
    </w:p>
    <w:p>
      <w:pPr>
        <w:widowControl/>
        <w:ind w:firstLine="640" w:firstLineChars="200"/>
        <w:jc w:val="left"/>
        <w:outlineLvl w:val="1"/>
        <w:rPr>
          <w:rFonts w:ascii="黑体" w:hAnsi="黑体" w:eastAsia="黑体" w:cs="黑体"/>
          <w:sz w:val="32"/>
          <w:szCs w:val="40"/>
        </w:rPr>
      </w:pPr>
      <w:r>
        <w:rPr>
          <w:rFonts w:hint="eastAsia" w:ascii="黑体" w:hAnsi="黑体" w:eastAsia="黑体" w:cs="黑体"/>
          <w:sz w:val="32"/>
          <w:szCs w:val="40"/>
        </w:rPr>
        <w:t>四、张某某等人污染环境案</w:t>
      </w:r>
      <w:bookmarkEnd w:id="86"/>
    </w:p>
    <w:p>
      <w:pPr>
        <w:widowControl/>
        <w:rPr>
          <w:rFonts w:ascii="楷体" w:hAnsi="楷体" w:eastAsia="楷体" w:cs="仿宋"/>
          <w:b/>
          <w:kern w:val="0"/>
          <w:sz w:val="32"/>
          <w:szCs w:val="32"/>
        </w:rPr>
      </w:pPr>
      <w:r>
        <w:rPr>
          <w:rFonts w:hint="eastAsia" w:ascii="楷体" w:hAnsi="楷体" w:eastAsia="楷体" w:cs="仿宋"/>
          <w:b/>
          <w:kern w:val="0"/>
          <w:sz w:val="32"/>
          <w:szCs w:val="32"/>
        </w:rPr>
        <w:t>【基本案情】</w:t>
      </w:r>
    </w:p>
    <w:p>
      <w:pPr>
        <w:widowControl/>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被告人张某某，农民，江苏省新沂市人。</w:t>
      </w:r>
    </w:p>
    <w:p>
      <w:pPr>
        <w:widowControl/>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被告人高某某，农民。江苏省新沂市人。</w:t>
      </w:r>
    </w:p>
    <w:p>
      <w:pPr>
        <w:widowControl/>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2017年2月至2018年2月间，被告人张某某在未经工商登记和环境保护行政排污许可的情况下，擅自在新沂市某某镇某某小区北侧非法经营电镀作坊，组织工人生产镀锌铁块，将电镀过程中产生的含有重金属锌的废水和酸洗过程中产生的废酸未经任何无害化处理直接排放到作坊东侧的露天坑塘内，严重污染环境。2018年3月至4月间，被告人高某某等人从张某某手中承接该电镀作坊，采用相同工艺进行非法镀锌，将生产过程中产生的含有重金属锌的废水和酸洗过程中产生的废酸未经任何处理继续排放到上述坑塘内，严重污染环境。</w:t>
      </w:r>
    </w:p>
    <w:p>
      <w:pPr>
        <w:widowControl/>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2018年4月7日，新沂市环保局工作人员当场查获，并对作坊内废水进行取样、坑塘测量，监测出该电镀作坊坑塘内PH值为1.85，具有腐蚀性，测算出坑塘内含酸废水量约为429吨，作坊内东墙边排水沟锌含量54.2mg/L，电解生产线排出的废水锌含量为2.45mg/L，坑塘内锌含量332mg/L。经新沂市环境保护局认定，该坑塘无任何防渗漏措施，属于法律意义上的渗坑。</w:t>
      </w:r>
    </w:p>
    <w:p>
      <w:pPr>
        <w:widowControl/>
        <w:rPr>
          <w:rFonts w:ascii="楷体" w:hAnsi="楷体" w:eastAsia="楷体" w:cs="仿宋"/>
          <w:b/>
          <w:kern w:val="0"/>
          <w:sz w:val="32"/>
          <w:szCs w:val="32"/>
        </w:rPr>
      </w:pPr>
      <w:r>
        <w:rPr>
          <w:rFonts w:hint="eastAsia" w:ascii="楷体" w:hAnsi="楷体" w:eastAsia="楷体" w:cs="仿宋"/>
          <w:b/>
          <w:kern w:val="0"/>
          <w:sz w:val="32"/>
          <w:szCs w:val="32"/>
        </w:rPr>
        <w:t>【检察履职情况】</w:t>
      </w:r>
    </w:p>
    <w:p>
      <w:pPr>
        <w:widowControl/>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2018年6月7日，侦查机关以张某某涉嫌污染环境罪移送本院审查起诉。期间，侦查机关以本案事实不清、证据不足为由，申请将案件撤回。本院审查后决定不同意侦查机关撤回案件的申请，要求其进行侦查实验补充证据。</w:t>
      </w:r>
    </w:p>
    <w:p>
      <w:pPr>
        <w:widowControl/>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2018年8月16日，在本院监督下，新沂市公安局主持开展电镀侦查实验，由被告人张某某使用案发时相同的原料、配方以及生产设施、工艺进行镀锌生产。经新沂市环境监测站现场监测，两个清洗池内废水锌含量分别为6.8 mg/L和2.93 mg/L，离心机内废水锌含量3.15 mg/L，均超过国家电镀污染物排放标准。</w:t>
      </w:r>
    </w:p>
    <w:p>
      <w:pPr>
        <w:widowControl/>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本院以侦查实验数据定案提起公诉，徐州铁路运输法院以污染环境罪判处被告人张某某男有期徒刑一年三个月，并处罚金人民币三万元；判处被告人高某某有期徒刑八个月，并处罚金二万元，被告人均未上诉。</w:t>
      </w:r>
    </w:p>
    <w:p>
      <w:pPr>
        <w:widowControl/>
        <w:rPr>
          <w:rFonts w:ascii="楷体" w:hAnsi="楷体" w:eastAsia="楷体" w:cs="仿宋"/>
          <w:b/>
          <w:kern w:val="0"/>
          <w:sz w:val="32"/>
          <w:szCs w:val="32"/>
        </w:rPr>
      </w:pPr>
      <w:r>
        <w:rPr>
          <w:rFonts w:hint="eastAsia" w:ascii="楷体" w:hAnsi="楷体" w:eastAsia="楷体" w:cs="仿宋"/>
          <w:b/>
          <w:kern w:val="0"/>
          <w:sz w:val="32"/>
          <w:szCs w:val="32"/>
        </w:rPr>
        <w:t>【典型意义】</w:t>
      </w:r>
    </w:p>
    <w:p>
      <w:pPr>
        <w:widowControl/>
        <w:ind w:firstLine="643"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第一，以侦查实验获取的数据为证据定案，对办理非法电镀案件具有典型性和指导性。</w:t>
      </w:r>
      <w:r>
        <w:rPr>
          <w:rFonts w:hint="eastAsia" w:ascii="仿宋_GB2312" w:hAnsi="仿宋" w:eastAsia="仿宋_GB2312" w:cs="仿宋"/>
          <w:kern w:val="0"/>
          <w:sz w:val="32"/>
          <w:szCs w:val="32"/>
        </w:rPr>
        <w:t>本案中，行政机关查获当时未取得排放的废水数据，对排放的清洗池内进行取样后，没有及时对样品进行监测，导致锌样品失效，无法采集监测数据，行政机关虽在坑塘内提取水样及时进行监测，但无法确定该污水是本案犯罪行为人排放所致，且坑塘内污水由于蒸发等因素不能客观反映非法电镀所排污水的重金属含量。检察机关提出通过侦查实验方式，在侦查机关主持，检察机关临场监督，相关部门参与的情况下，使用案发时相同的原料和配方、案发时相同的生产设施和工艺进行镀锌生产，还原案件发生发展过程，环保部门对现场产生的废水进行收集采样监测，并收集作无害化处理。侦查实验获取的数据客观真实，作为定案依据对办理非法电镀案件具有指导意义。</w:t>
      </w:r>
    </w:p>
    <w:p>
      <w:pPr>
        <w:widowControl/>
        <w:ind w:firstLine="643" w:firstLineChars="200"/>
        <w:rPr>
          <w:rFonts w:ascii="仿宋_GB2312" w:hAnsi="仿宋" w:eastAsia="仿宋_GB2312" w:cs="仿宋"/>
          <w:kern w:val="0"/>
          <w:sz w:val="32"/>
          <w:szCs w:val="32"/>
        </w:rPr>
      </w:pPr>
      <w:r>
        <w:rPr>
          <w:rFonts w:hint="eastAsia" w:ascii="仿宋_GB2312" w:hAnsi="仿宋" w:eastAsia="仿宋_GB2312" w:cs="仿宋"/>
          <w:b/>
          <w:kern w:val="0"/>
          <w:sz w:val="32"/>
          <w:szCs w:val="32"/>
        </w:rPr>
        <w:t>第二，在审查起诉阶段不同意公安机关撤回案件，具有监督意义。</w:t>
      </w:r>
      <w:r>
        <w:rPr>
          <w:rFonts w:hint="eastAsia" w:ascii="仿宋_GB2312" w:hAnsi="仿宋" w:eastAsia="仿宋_GB2312" w:cs="仿宋"/>
          <w:kern w:val="0"/>
          <w:sz w:val="32"/>
          <w:szCs w:val="32"/>
        </w:rPr>
        <w:t>环境资源类案件损害的是社会公共利益，一般没有具体的被害人，司法实务存在因案件证据不足同意公安机关撤回案件的情形，但是，检察机关应对公安撤回移送审查起诉案件进行监督。本案中，公安机关移送起诉后，发现案件证据不足，申请撤回，检察机关进行监督，认为公安机关撤回移送审查起诉没有法律依据，依法不同意撤回案件，纠正了公安机关的错误做法，具有监督意义。</w:t>
      </w:r>
    </w:p>
    <w:p>
      <w:pPr>
        <w:ind w:firstLine="723" w:firstLineChars="200"/>
        <w:jc w:val="center"/>
        <w:rPr>
          <w:rFonts w:ascii="黑体" w:hAnsi="黑体" w:eastAsia="黑体"/>
          <w:b/>
          <w:sz w:val="36"/>
          <w:szCs w:val="36"/>
        </w:rPr>
      </w:pPr>
    </w:p>
    <w:sectPr>
      <w:footerReference r:id="rId4" w:type="default"/>
      <w:pgSz w:w="11906" w:h="16838"/>
      <w:pgMar w:top="1531" w:right="1531" w:bottom="1531"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 xml:space="preserve">第 </w:t>
                          </w:r>
                          <w:r>
                            <w:fldChar w:fldCharType="begin"/>
                          </w:r>
                          <w:r>
                            <w:instrText xml:space="preserve"> PAGE  \* MERGEFORMAT </w:instrText>
                          </w:r>
                          <w:r>
                            <w:fldChar w:fldCharType="separate"/>
                          </w:r>
                          <w:r>
                            <w:t>28</w:t>
                          </w:r>
                          <w:r>
                            <w:fldChar w:fldCharType="end"/>
                          </w:r>
                          <w:r>
                            <w:t xml:space="preserve"> 页 </w:t>
                          </w:r>
                          <w:r>
                            <w:rPr>
                              <w:rFonts w:hint="eastAsia"/>
                            </w:rPr>
                            <w:t>31</w:t>
                          </w:r>
                          <w:r>
                            <w:t>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28</w:t>
                    </w:r>
                    <w:r>
                      <w:fldChar w:fldCharType="end"/>
                    </w:r>
                    <w:r>
                      <w:t xml:space="preserve"> 页 </w:t>
                    </w:r>
                    <w:r>
                      <w:rPr>
                        <w:rFonts w:hint="eastAsia"/>
                      </w:rPr>
                      <w:t>31</w:t>
                    </w:r>
                    <w:r>
                      <w:t>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8"/>
      </w:pPr>
      <w:r>
        <w:rPr>
          <w:rStyle w:val="14"/>
        </w:rPr>
        <w:footnoteRef/>
      </w:r>
      <w:r>
        <w:rPr>
          <w:rFonts w:hint="eastAsia"/>
        </w:rPr>
        <w:t>五县（市）一区指丰县、沛县、睢宁县、新沂市、邳州市、铜山区</w:t>
      </w:r>
    </w:p>
  </w:footnote>
  <w:footnote w:id="1">
    <w:p>
      <w:pPr>
        <w:pStyle w:val="8"/>
      </w:pPr>
      <w:r>
        <w:rPr>
          <w:rStyle w:val="14"/>
        </w:rPr>
        <w:footnoteRef/>
      </w:r>
      <w:r>
        <w:rPr>
          <w:rFonts w:hint="eastAsia"/>
        </w:rPr>
        <w:t>计算依据：统计周期内审查起诉数为891件2034人，逮捕案件数量未计算在内。</w:t>
      </w:r>
    </w:p>
  </w:footnote>
  <w:footnote w:id="2">
    <w:p>
      <w:pPr>
        <w:pStyle w:val="8"/>
      </w:pPr>
      <w:r>
        <w:rPr>
          <w:rStyle w:val="14"/>
        </w:rPr>
        <w:footnoteRef/>
      </w:r>
      <w:r>
        <w:rPr>
          <w:rFonts w:hint="eastAsia"/>
        </w:rPr>
        <w:t>根据《最高人民法院、最高人民检察院关于执行&lt;中华人民共和国刑法&gt;确定罪名的补充规定（七）》及《中华人民共和国刑法修正案（十一）》的规定，自2021年3月1日起，刑法第三百四十一条第一款的罪名变更为“危害珍贵、濒危野生动物罪”，取消了“非法收购、运输、出售珍贵、濒危野生动物罪”罪名。</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ODZmNmRhOWQ3OWE4MDY1NmIzODJhNWI3NGRjMjQifQ=="/>
  </w:docVars>
  <w:rsids>
    <w:rsidRoot w:val="00230374"/>
    <w:rsid w:val="00007518"/>
    <w:rsid w:val="00011730"/>
    <w:rsid w:val="00043A98"/>
    <w:rsid w:val="00052EE0"/>
    <w:rsid w:val="000735BC"/>
    <w:rsid w:val="0007689E"/>
    <w:rsid w:val="00077DA3"/>
    <w:rsid w:val="000958AC"/>
    <w:rsid w:val="00095C03"/>
    <w:rsid w:val="000A5440"/>
    <w:rsid w:val="000B0A70"/>
    <w:rsid w:val="000B5D88"/>
    <w:rsid w:val="000E5CFA"/>
    <w:rsid w:val="000F016A"/>
    <w:rsid w:val="000F4BEE"/>
    <w:rsid w:val="001175A0"/>
    <w:rsid w:val="0012159B"/>
    <w:rsid w:val="001401FF"/>
    <w:rsid w:val="00145F7C"/>
    <w:rsid w:val="00150B7D"/>
    <w:rsid w:val="001600DD"/>
    <w:rsid w:val="00161785"/>
    <w:rsid w:val="00171554"/>
    <w:rsid w:val="001C32BA"/>
    <w:rsid w:val="001C7D5E"/>
    <w:rsid w:val="001D1BFC"/>
    <w:rsid w:val="001E3CFD"/>
    <w:rsid w:val="001F423D"/>
    <w:rsid w:val="00212AE1"/>
    <w:rsid w:val="00213580"/>
    <w:rsid w:val="0021468D"/>
    <w:rsid w:val="00220F14"/>
    <w:rsid w:val="0022188B"/>
    <w:rsid w:val="002238D1"/>
    <w:rsid w:val="00230374"/>
    <w:rsid w:val="00233992"/>
    <w:rsid w:val="0023558F"/>
    <w:rsid w:val="00241D90"/>
    <w:rsid w:val="00253049"/>
    <w:rsid w:val="00254A71"/>
    <w:rsid w:val="002706DA"/>
    <w:rsid w:val="00281447"/>
    <w:rsid w:val="00291C4A"/>
    <w:rsid w:val="00295CC2"/>
    <w:rsid w:val="002A00AB"/>
    <w:rsid w:val="002E045F"/>
    <w:rsid w:val="002F7D8D"/>
    <w:rsid w:val="003247D7"/>
    <w:rsid w:val="0033547C"/>
    <w:rsid w:val="00350E76"/>
    <w:rsid w:val="00355037"/>
    <w:rsid w:val="00361BC7"/>
    <w:rsid w:val="0036484C"/>
    <w:rsid w:val="00373C5D"/>
    <w:rsid w:val="003A36CF"/>
    <w:rsid w:val="003A5805"/>
    <w:rsid w:val="003A61CF"/>
    <w:rsid w:val="003B1472"/>
    <w:rsid w:val="003B50D8"/>
    <w:rsid w:val="003B5BDA"/>
    <w:rsid w:val="003B6D7A"/>
    <w:rsid w:val="003C2E62"/>
    <w:rsid w:val="003C309B"/>
    <w:rsid w:val="003E5C13"/>
    <w:rsid w:val="003E7131"/>
    <w:rsid w:val="003F3AD0"/>
    <w:rsid w:val="003F5E23"/>
    <w:rsid w:val="00413383"/>
    <w:rsid w:val="00425D66"/>
    <w:rsid w:val="004447A0"/>
    <w:rsid w:val="004468BF"/>
    <w:rsid w:val="00453FDF"/>
    <w:rsid w:val="00461A85"/>
    <w:rsid w:val="00463163"/>
    <w:rsid w:val="00465FB2"/>
    <w:rsid w:val="004739C5"/>
    <w:rsid w:val="0048192C"/>
    <w:rsid w:val="0049235B"/>
    <w:rsid w:val="00494195"/>
    <w:rsid w:val="004973B1"/>
    <w:rsid w:val="00497AA3"/>
    <w:rsid w:val="004A0A87"/>
    <w:rsid w:val="004B101E"/>
    <w:rsid w:val="004C4A31"/>
    <w:rsid w:val="004C57B1"/>
    <w:rsid w:val="004D06BA"/>
    <w:rsid w:val="004D599D"/>
    <w:rsid w:val="004E02B5"/>
    <w:rsid w:val="004E09F9"/>
    <w:rsid w:val="004E1421"/>
    <w:rsid w:val="004F0ED4"/>
    <w:rsid w:val="00510937"/>
    <w:rsid w:val="00511CC1"/>
    <w:rsid w:val="00512DCE"/>
    <w:rsid w:val="00512E6E"/>
    <w:rsid w:val="005166C3"/>
    <w:rsid w:val="0053104E"/>
    <w:rsid w:val="00536D88"/>
    <w:rsid w:val="00537285"/>
    <w:rsid w:val="00543281"/>
    <w:rsid w:val="005513AE"/>
    <w:rsid w:val="00554F8F"/>
    <w:rsid w:val="00565FB7"/>
    <w:rsid w:val="00571F67"/>
    <w:rsid w:val="00576EEE"/>
    <w:rsid w:val="005959A8"/>
    <w:rsid w:val="005A69AD"/>
    <w:rsid w:val="005B2F1B"/>
    <w:rsid w:val="005B728D"/>
    <w:rsid w:val="005C3775"/>
    <w:rsid w:val="005D1274"/>
    <w:rsid w:val="005E3B44"/>
    <w:rsid w:val="00607483"/>
    <w:rsid w:val="0061349E"/>
    <w:rsid w:val="0061464B"/>
    <w:rsid w:val="00626160"/>
    <w:rsid w:val="0062719E"/>
    <w:rsid w:val="00632C30"/>
    <w:rsid w:val="0065160F"/>
    <w:rsid w:val="00651E13"/>
    <w:rsid w:val="006636C5"/>
    <w:rsid w:val="00675F1C"/>
    <w:rsid w:val="00680175"/>
    <w:rsid w:val="006811F1"/>
    <w:rsid w:val="00681ACE"/>
    <w:rsid w:val="006863DA"/>
    <w:rsid w:val="006865A7"/>
    <w:rsid w:val="00691871"/>
    <w:rsid w:val="006A41EF"/>
    <w:rsid w:val="006B2641"/>
    <w:rsid w:val="006D33D9"/>
    <w:rsid w:val="006D5126"/>
    <w:rsid w:val="006D79D5"/>
    <w:rsid w:val="006E258A"/>
    <w:rsid w:val="006E532B"/>
    <w:rsid w:val="006F36A6"/>
    <w:rsid w:val="006F7C94"/>
    <w:rsid w:val="007000B8"/>
    <w:rsid w:val="00702C20"/>
    <w:rsid w:val="0070328A"/>
    <w:rsid w:val="007054B2"/>
    <w:rsid w:val="007213BF"/>
    <w:rsid w:val="0072697B"/>
    <w:rsid w:val="00734A1D"/>
    <w:rsid w:val="00736CA4"/>
    <w:rsid w:val="007376C8"/>
    <w:rsid w:val="00762FF6"/>
    <w:rsid w:val="00772783"/>
    <w:rsid w:val="00780EB2"/>
    <w:rsid w:val="007969F3"/>
    <w:rsid w:val="007A39EF"/>
    <w:rsid w:val="007B42E0"/>
    <w:rsid w:val="007D5179"/>
    <w:rsid w:val="007E12E4"/>
    <w:rsid w:val="007F53A0"/>
    <w:rsid w:val="00806739"/>
    <w:rsid w:val="00812F80"/>
    <w:rsid w:val="0081773A"/>
    <w:rsid w:val="008258C5"/>
    <w:rsid w:val="008323BB"/>
    <w:rsid w:val="00833B2C"/>
    <w:rsid w:val="00834DF3"/>
    <w:rsid w:val="00840997"/>
    <w:rsid w:val="0084390C"/>
    <w:rsid w:val="008446B8"/>
    <w:rsid w:val="00844A99"/>
    <w:rsid w:val="0086648E"/>
    <w:rsid w:val="00867D6E"/>
    <w:rsid w:val="008879ED"/>
    <w:rsid w:val="0089397E"/>
    <w:rsid w:val="00893BB6"/>
    <w:rsid w:val="008C113D"/>
    <w:rsid w:val="008C48F7"/>
    <w:rsid w:val="008C64FC"/>
    <w:rsid w:val="008E2AA6"/>
    <w:rsid w:val="009015DC"/>
    <w:rsid w:val="00924F02"/>
    <w:rsid w:val="009273D4"/>
    <w:rsid w:val="009412A9"/>
    <w:rsid w:val="00947FD2"/>
    <w:rsid w:val="00972E84"/>
    <w:rsid w:val="00982821"/>
    <w:rsid w:val="0099355E"/>
    <w:rsid w:val="009B0BCC"/>
    <w:rsid w:val="009C4874"/>
    <w:rsid w:val="009C4B03"/>
    <w:rsid w:val="009C61E9"/>
    <w:rsid w:val="009C7ED1"/>
    <w:rsid w:val="009D010A"/>
    <w:rsid w:val="009D1566"/>
    <w:rsid w:val="009D5D92"/>
    <w:rsid w:val="009F5C00"/>
    <w:rsid w:val="00A0363D"/>
    <w:rsid w:val="00A10F33"/>
    <w:rsid w:val="00A126D0"/>
    <w:rsid w:val="00A15333"/>
    <w:rsid w:val="00A20B29"/>
    <w:rsid w:val="00A22E45"/>
    <w:rsid w:val="00A40EE8"/>
    <w:rsid w:val="00A46A5D"/>
    <w:rsid w:val="00A717B4"/>
    <w:rsid w:val="00A76838"/>
    <w:rsid w:val="00A806B4"/>
    <w:rsid w:val="00A935C2"/>
    <w:rsid w:val="00A945D3"/>
    <w:rsid w:val="00AA1310"/>
    <w:rsid w:val="00AA215D"/>
    <w:rsid w:val="00AA3D74"/>
    <w:rsid w:val="00AC45B7"/>
    <w:rsid w:val="00AC6340"/>
    <w:rsid w:val="00AE75FD"/>
    <w:rsid w:val="00AF0952"/>
    <w:rsid w:val="00AF1F3A"/>
    <w:rsid w:val="00AF275D"/>
    <w:rsid w:val="00B00914"/>
    <w:rsid w:val="00B146AB"/>
    <w:rsid w:val="00B234BC"/>
    <w:rsid w:val="00B305C2"/>
    <w:rsid w:val="00B31603"/>
    <w:rsid w:val="00B51AC0"/>
    <w:rsid w:val="00B53754"/>
    <w:rsid w:val="00B55A8D"/>
    <w:rsid w:val="00B83277"/>
    <w:rsid w:val="00B84492"/>
    <w:rsid w:val="00B8624F"/>
    <w:rsid w:val="00B9318B"/>
    <w:rsid w:val="00B95CA6"/>
    <w:rsid w:val="00BC5CEA"/>
    <w:rsid w:val="00BD1373"/>
    <w:rsid w:val="00BD34CE"/>
    <w:rsid w:val="00BD3ABE"/>
    <w:rsid w:val="00BF0F92"/>
    <w:rsid w:val="00C20BB5"/>
    <w:rsid w:val="00C237CA"/>
    <w:rsid w:val="00C27396"/>
    <w:rsid w:val="00C36C42"/>
    <w:rsid w:val="00C4390F"/>
    <w:rsid w:val="00C458DA"/>
    <w:rsid w:val="00C51037"/>
    <w:rsid w:val="00C56312"/>
    <w:rsid w:val="00C62A17"/>
    <w:rsid w:val="00C65A96"/>
    <w:rsid w:val="00C73BEE"/>
    <w:rsid w:val="00C740E0"/>
    <w:rsid w:val="00C82987"/>
    <w:rsid w:val="00C95FA2"/>
    <w:rsid w:val="00CA073A"/>
    <w:rsid w:val="00CA63B8"/>
    <w:rsid w:val="00CB1F21"/>
    <w:rsid w:val="00CB2B30"/>
    <w:rsid w:val="00CC58DB"/>
    <w:rsid w:val="00CD40C0"/>
    <w:rsid w:val="00CE6887"/>
    <w:rsid w:val="00CF0478"/>
    <w:rsid w:val="00CF05C5"/>
    <w:rsid w:val="00D02777"/>
    <w:rsid w:val="00D216C9"/>
    <w:rsid w:val="00D66773"/>
    <w:rsid w:val="00D67083"/>
    <w:rsid w:val="00D73BEA"/>
    <w:rsid w:val="00D94084"/>
    <w:rsid w:val="00DB02A8"/>
    <w:rsid w:val="00DB2D8C"/>
    <w:rsid w:val="00DC22EB"/>
    <w:rsid w:val="00DC4FEC"/>
    <w:rsid w:val="00DD1390"/>
    <w:rsid w:val="00DD2135"/>
    <w:rsid w:val="00DD2ED8"/>
    <w:rsid w:val="00DD4254"/>
    <w:rsid w:val="00DF1B72"/>
    <w:rsid w:val="00DF5FB2"/>
    <w:rsid w:val="00DF638F"/>
    <w:rsid w:val="00E01840"/>
    <w:rsid w:val="00E12778"/>
    <w:rsid w:val="00E1502D"/>
    <w:rsid w:val="00E23276"/>
    <w:rsid w:val="00E234AC"/>
    <w:rsid w:val="00E30600"/>
    <w:rsid w:val="00E35392"/>
    <w:rsid w:val="00E6321C"/>
    <w:rsid w:val="00E6497A"/>
    <w:rsid w:val="00E70977"/>
    <w:rsid w:val="00E86941"/>
    <w:rsid w:val="00E91A73"/>
    <w:rsid w:val="00E92601"/>
    <w:rsid w:val="00E96411"/>
    <w:rsid w:val="00E96B20"/>
    <w:rsid w:val="00EA5EA7"/>
    <w:rsid w:val="00EA6922"/>
    <w:rsid w:val="00EA77BD"/>
    <w:rsid w:val="00EB4601"/>
    <w:rsid w:val="00EF6AE4"/>
    <w:rsid w:val="00EF77DC"/>
    <w:rsid w:val="00F03FE8"/>
    <w:rsid w:val="00F0413F"/>
    <w:rsid w:val="00F05A71"/>
    <w:rsid w:val="00F1299C"/>
    <w:rsid w:val="00F2177B"/>
    <w:rsid w:val="00F22D92"/>
    <w:rsid w:val="00F30370"/>
    <w:rsid w:val="00F35EC0"/>
    <w:rsid w:val="00F36421"/>
    <w:rsid w:val="00F3700D"/>
    <w:rsid w:val="00F40300"/>
    <w:rsid w:val="00F434FB"/>
    <w:rsid w:val="00F55FF8"/>
    <w:rsid w:val="00F64F40"/>
    <w:rsid w:val="00F726C6"/>
    <w:rsid w:val="00F91EB0"/>
    <w:rsid w:val="00FB7AE8"/>
    <w:rsid w:val="00FC44E0"/>
    <w:rsid w:val="00FC4F19"/>
    <w:rsid w:val="00FC7A50"/>
    <w:rsid w:val="00FD54CB"/>
    <w:rsid w:val="00FE1794"/>
    <w:rsid w:val="00FE566B"/>
    <w:rsid w:val="0902390A"/>
    <w:rsid w:val="14E65A7B"/>
    <w:rsid w:val="16594C9F"/>
    <w:rsid w:val="1C952A43"/>
    <w:rsid w:val="1D8C29F5"/>
    <w:rsid w:val="23B1063E"/>
    <w:rsid w:val="243F5C4A"/>
    <w:rsid w:val="27D36DD5"/>
    <w:rsid w:val="2F545717"/>
    <w:rsid w:val="34191422"/>
    <w:rsid w:val="411C3143"/>
    <w:rsid w:val="4B492C62"/>
    <w:rsid w:val="52C84ED8"/>
    <w:rsid w:val="564E4FC8"/>
    <w:rsid w:val="58B76BC7"/>
    <w:rsid w:val="5A276988"/>
    <w:rsid w:val="5FF4730D"/>
    <w:rsid w:val="6062696C"/>
    <w:rsid w:val="63F57AF7"/>
    <w:rsid w:val="64410FF5"/>
    <w:rsid w:val="6B767770"/>
    <w:rsid w:val="724B137E"/>
    <w:rsid w:val="75175B20"/>
    <w:rsid w:val="77A411C1"/>
    <w:rsid w:val="77E837A3"/>
    <w:rsid w:val="7A523156"/>
    <w:rsid w:val="7CD51E1C"/>
    <w:rsid w:val="7D2A7C21"/>
    <w:rsid w:val="7FA563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7"/>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ind w:left="840" w:leftChars="400"/>
    </w:pPr>
  </w:style>
  <w:style w:type="paragraph" w:styleId="4">
    <w:name w:val="Balloon Text"/>
    <w:basedOn w:val="1"/>
    <w:link w:val="18"/>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rPr>
      <w:rFonts w:ascii="Calibri" w:hAnsi="Calibri" w:eastAsia="宋体" w:cs="Times New Roman"/>
      <w:szCs w:val="24"/>
    </w:rPr>
  </w:style>
  <w:style w:type="paragraph" w:styleId="8">
    <w:name w:val="footnote text"/>
    <w:basedOn w:val="1"/>
    <w:link w:val="20"/>
    <w:qFormat/>
    <w:uiPriority w:val="0"/>
    <w:pPr>
      <w:snapToGrid w:val="0"/>
      <w:jc w:val="left"/>
    </w:pPr>
    <w:rPr>
      <w:rFonts w:ascii="Calibri" w:hAnsi="Calibri" w:eastAsia="宋体" w:cs="Times New Roman"/>
      <w:sz w:val="18"/>
      <w:szCs w:val="24"/>
    </w:rPr>
  </w:style>
  <w:style w:type="paragraph" w:styleId="9">
    <w:name w:val="toc 2"/>
    <w:basedOn w:val="1"/>
    <w:next w:val="1"/>
    <w:qFormat/>
    <w:uiPriority w:val="39"/>
    <w:pPr>
      <w:ind w:left="420" w:leftChars="200"/>
    </w:pPr>
    <w:rPr>
      <w:rFonts w:ascii="Calibri" w:hAnsi="Calibri" w:eastAsia="宋体" w:cs="Times New Roman"/>
      <w:szCs w:val="24"/>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3">
    <w:name w:val="Hyperlink"/>
    <w:basedOn w:val="12"/>
    <w:unhideWhenUsed/>
    <w:qFormat/>
    <w:uiPriority w:val="99"/>
    <w:rPr>
      <w:color w:val="0000FF"/>
      <w:u w:val="none"/>
    </w:rPr>
  </w:style>
  <w:style w:type="character" w:styleId="14">
    <w:name w:val="footnote reference"/>
    <w:basedOn w:val="12"/>
    <w:uiPriority w:val="0"/>
    <w:rPr>
      <w:vertAlign w:val="superscript"/>
    </w:rPr>
  </w:style>
  <w:style w:type="character" w:customStyle="1" w:styleId="15">
    <w:name w:val="页眉 Char"/>
    <w:basedOn w:val="12"/>
    <w:link w:val="6"/>
    <w:qFormat/>
    <w:uiPriority w:val="99"/>
    <w:rPr>
      <w:sz w:val="18"/>
      <w:szCs w:val="18"/>
    </w:rPr>
  </w:style>
  <w:style w:type="character" w:customStyle="1" w:styleId="16">
    <w:name w:val="页脚 Char"/>
    <w:basedOn w:val="12"/>
    <w:link w:val="5"/>
    <w:qFormat/>
    <w:uiPriority w:val="99"/>
    <w:rPr>
      <w:sz w:val="18"/>
      <w:szCs w:val="18"/>
    </w:rPr>
  </w:style>
  <w:style w:type="character" w:customStyle="1" w:styleId="17">
    <w:name w:val="标题 3 Char"/>
    <w:basedOn w:val="12"/>
    <w:link w:val="2"/>
    <w:qFormat/>
    <w:uiPriority w:val="9"/>
    <w:rPr>
      <w:rFonts w:ascii="宋体" w:hAnsi="宋体" w:eastAsia="宋体" w:cs="宋体"/>
      <w:b/>
      <w:bCs/>
      <w:kern w:val="0"/>
      <w:sz w:val="27"/>
      <w:szCs w:val="27"/>
    </w:rPr>
  </w:style>
  <w:style w:type="character" w:customStyle="1" w:styleId="18">
    <w:name w:val="批注框文本 Char"/>
    <w:basedOn w:val="12"/>
    <w:link w:val="4"/>
    <w:semiHidden/>
    <w:qFormat/>
    <w:uiPriority w:val="99"/>
    <w:rPr>
      <w:sz w:val="18"/>
      <w:szCs w:val="18"/>
    </w:rPr>
  </w:style>
  <w:style w:type="paragraph" w:styleId="19">
    <w:name w:val="List Paragraph"/>
    <w:basedOn w:val="1"/>
    <w:qFormat/>
    <w:uiPriority w:val="34"/>
    <w:pPr>
      <w:ind w:firstLine="420" w:firstLineChars="200"/>
    </w:pPr>
  </w:style>
  <w:style w:type="character" w:customStyle="1" w:styleId="20">
    <w:name w:val="脚注文本 Char"/>
    <w:basedOn w:val="12"/>
    <w:link w:val="8"/>
    <w:qFormat/>
    <w:uiPriority w:val="0"/>
    <w:rPr>
      <w:rFonts w:ascii="Calibri" w:hAnsi="Calibri" w:eastAsia="宋体" w:cs="Times New Roman"/>
      <w:sz w:val="18"/>
      <w:szCs w:val="24"/>
    </w:rPr>
  </w:style>
  <w:style w:type="paragraph" w:customStyle="1" w:styleId="21">
    <w:name w:val="WPSOffice手动目录 1"/>
    <w:qFormat/>
    <w:uiPriority w:val="0"/>
    <w:rPr>
      <w:rFonts w:asciiTheme="minorHAnsi" w:hAnsiTheme="minorHAnsi" w:eastAsiaTheme="minorEastAsia" w:cstheme="minorBidi"/>
      <w:lang w:val="en-US" w:eastAsia="zh-CN" w:bidi="ar-SA"/>
    </w:rPr>
  </w:style>
  <w:style w:type="paragraph" w:customStyle="1" w:styleId="22">
    <w:name w:val="WPSOffice手动目录 2"/>
    <w:qFormat/>
    <w:uiPriority w:val="0"/>
    <w:pPr>
      <w:ind w:left="200" w:leftChars="200"/>
    </w:pPr>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Workbook2.xls"/><Relationship Id="rId7" Type="http://schemas.openxmlformats.org/officeDocument/2006/relationships/image" Target="media/image1.emf"/><Relationship Id="rId6" Type="http://schemas.openxmlformats.org/officeDocument/2006/relationships/oleObject" Target="embeddings/Workbook1.xls"/><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5.emf"/><Relationship Id="rId14" Type="http://schemas.openxmlformats.org/officeDocument/2006/relationships/oleObject" Target="embeddings/Workbook5.xls"/><Relationship Id="rId13" Type="http://schemas.openxmlformats.org/officeDocument/2006/relationships/image" Target="media/image4.emf"/><Relationship Id="rId12" Type="http://schemas.openxmlformats.org/officeDocument/2006/relationships/oleObject" Target="embeddings/Workbook4.xls"/><Relationship Id="rId11" Type="http://schemas.openxmlformats.org/officeDocument/2006/relationships/image" Target="media/image3.emf"/><Relationship Id="rId10" Type="http://schemas.openxmlformats.org/officeDocument/2006/relationships/oleObject" Target="embeddings/Workbook3.xls"/><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56B0F9-913E-4264-B397-F38A1D1FC6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15335</Words>
  <Characters>15913</Characters>
  <Lines>120</Lines>
  <Paragraphs>33</Paragraphs>
  <TotalTime>9</TotalTime>
  <ScaleCrop>false</ScaleCrop>
  <LinksUpToDate>false</LinksUpToDate>
  <CharactersWithSpaces>15995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2022-05-30T08:13:00Z</dcterms:created>
  <dc:creator>王明远</dc:creator>
  <cp:lastModifiedBy>英格力士</cp:lastModifiedBy>
  <cp:lastPrinted>2022-05-31T02:19:00Z</cp:lastPrinted>
  <dcterms:modified xsi:type="dcterms:W3CDTF">2022-07-18T09:31:08Z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35CE583C0F3F49808204CC563C47D7EF</vt:lpwstr>
  </property>
</Properties>
</file>